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15C86">
      <w:pPr>
        <w:keepNext w:val="0"/>
        <w:keepLines w:val="0"/>
        <w:pageBreakBefore w:val="0"/>
        <w:widowControl/>
        <w:kinsoku/>
        <w:wordWrap/>
        <w:overflowPunct/>
        <w:topLinePunct w:val="0"/>
        <w:autoSpaceDE/>
        <w:autoSpaceDN/>
        <w:bidi w:val="0"/>
        <w:adjustRightInd/>
        <w:snapToGrid/>
        <w:spacing w:before="312" w:beforeLines="100" w:line="240" w:lineRule="auto"/>
        <w:jc w:val="center"/>
        <w:textAlignment w:val="auto"/>
        <w:rPr>
          <w:rFonts w:hint="eastAsia" w:ascii="方正公文小标宋" w:hAnsi="方正公文小标宋" w:eastAsia="方正公文小标宋" w:cs="方正公文小标宋"/>
          <w:b w:val="0"/>
          <w:bCs w:val="0"/>
          <w:kern w:val="0"/>
          <w:sz w:val="44"/>
          <w:szCs w:val="44"/>
        </w:rPr>
      </w:pPr>
      <w:bookmarkStart w:id="0" w:name="_GoBack"/>
      <w:bookmarkEnd w:id="0"/>
      <w:r>
        <w:rPr>
          <w:rFonts w:hint="eastAsia" w:ascii="方正公文小标宋" w:hAnsi="方正公文小标宋" w:eastAsia="方正公文小标宋" w:cs="方正公文小标宋"/>
          <w:b w:val="0"/>
          <w:bCs w:val="0"/>
          <w:kern w:val="0"/>
          <w:sz w:val="44"/>
          <w:szCs w:val="44"/>
        </w:rPr>
        <w:t>沧州市技术创新中心建设与</w:t>
      </w:r>
      <w:r>
        <w:rPr>
          <w:rFonts w:hint="eastAsia" w:ascii="方正公文小标宋" w:hAnsi="方正公文小标宋" w:eastAsia="方正公文小标宋" w:cs="方正公文小标宋"/>
          <w:b w:val="0"/>
          <w:bCs w:val="0"/>
          <w:kern w:val="0"/>
          <w:sz w:val="44"/>
          <w:szCs w:val="44"/>
          <w:lang w:val="en-US" w:eastAsia="zh-CN"/>
        </w:rPr>
        <w:t>运行</w:t>
      </w:r>
      <w:r>
        <w:rPr>
          <w:rFonts w:hint="eastAsia" w:ascii="方正公文小标宋" w:hAnsi="方正公文小标宋" w:eastAsia="方正公文小标宋" w:cs="方正公文小标宋"/>
          <w:b w:val="0"/>
          <w:bCs w:val="0"/>
          <w:kern w:val="0"/>
          <w:sz w:val="44"/>
          <w:szCs w:val="44"/>
        </w:rPr>
        <w:t>管理办法</w:t>
      </w:r>
    </w:p>
    <w:p w14:paraId="366BCFBB">
      <w:pPr>
        <w:keepNext w:val="0"/>
        <w:keepLines w:val="0"/>
        <w:pageBreakBefore w:val="0"/>
        <w:widowControl/>
        <w:kinsoku/>
        <w:wordWrap/>
        <w:overflowPunct/>
        <w:topLinePunct w:val="0"/>
        <w:bidi w:val="0"/>
        <w:adjustRightInd/>
        <w:snapToGrid/>
        <w:spacing w:line="560" w:lineRule="exact"/>
        <w:jc w:val="center"/>
        <w:textAlignment w:val="auto"/>
        <w:rPr>
          <w:rFonts w:hint="eastAsia" w:ascii="黑体" w:hAnsi="黑体" w:eastAsia="黑体" w:cs="黑体"/>
          <w:b w:val="0"/>
          <w:bCs w:val="0"/>
          <w:kern w:val="0"/>
          <w:sz w:val="32"/>
          <w:szCs w:val="32"/>
        </w:rPr>
      </w:pPr>
    </w:p>
    <w:p w14:paraId="57375E90">
      <w:pPr>
        <w:keepNext w:val="0"/>
        <w:keepLines w:val="0"/>
        <w:pageBreakBefore w:val="0"/>
        <w:widowControl/>
        <w:kinsoku/>
        <w:wordWrap/>
        <w:overflowPunct/>
        <w:topLinePunct w:val="0"/>
        <w:bidi w:val="0"/>
        <w:adjustRightInd/>
        <w:snapToGrid/>
        <w:spacing w:line="560" w:lineRule="exact"/>
        <w:jc w:val="center"/>
        <w:textAlignment w:val="auto"/>
        <w:rPr>
          <w:rFonts w:hint="eastAsia" w:ascii="黑体" w:hAnsi="黑体" w:eastAsia="黑体" w:cs="黑体"/>
          <w:b w:val="0"/>
          <w:bCs w:val="0"/>
          <w:kern w:val="0"/>
          <w:szCs w:val="21"/>
        </w:rPr>
      </w:pPr>
      <w:r>
        <w:rPr>
          <w:rFonts w:hint="eastAsia" w:ascii="黑体" w:hAnsi="黑体" w:eastAsia="黑体" w:cs="黑体"/>
          <w:b w:val="0"/>
          <w:bCs w:val="0"/>
          <w:kern w:val="0"/>
          <w:sz w:val="32"/>
          <w:szCs w:val="32"/>
        </w:rPr>
        <w:t>第一章</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总</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则</w:t>
      </w:r>
    </w:p>
    <w:p w14:paraId="0233AB02">
      <w:pPr>
        <w:keepNext w:val="0"/>
        <w:keepLines w:val="0"/>
        <w:pageBreakBefore w:val="0"/>
        <w:widowControl/>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color w:val="auto"/>
          <w:kern w:val="0"/>
          <w:szCs w:val="21"/>
        </w:rPr>
      </w:pPr>
      <w:r>
        <w:rPr>
          <w:rFonts w:hint="eastAsia" w:ascii="仿宋_GB2312" w:hAnsi="仿宋_GB2312" w:eastAsia="仿宋_GB2312" w:cs="仿宋_GB2312"/>
          <w:b/>
          <w:bCs/>
          <w:kern w:val="0"/>
          <w:sz w:val="32"/>
          <w:szCs w:val="32"/>
        </w:rPr>
        <w:t>第一条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为提高沧州市科技创新能力，促进以企业为主体、市场为导向、产学研深度融合的技术创新体系建设，规范和加强</w:t>
      </w:r>
      <w:r>
        <w:rPr>
          <w:rFonts w:hint="eastAsia" w:ascii="仿宋_GB2312" w:hAnsi="仿宋_GB2312" w:eastAsia="仿宋_GB2312" w:cs="仿宋_GB2312"/>
          <w:kern w:val="0"/>
          <w:sz w:val="32"/>
          <w:szCs w:val="32"/>
          <w:lang w:val="en-US" w:eastAsia="zh-CN"/>
        </w:rPr>
        <w:t>沧州市</w:t>
      </w:r>
      <w:r>
        <w:rPr>
          <w:rFonts w:hint="eastAsia" w:ascii="仿宋_GB2312" w:hAnsi="仿宋_GB2312" w:eastAsia="仿宋_GB2312" w:cs="仿宋_GB2312"/>
          <w:kern w:val="0"/>
          <w:sz w:val="32"/>
          <w:szCs w:val="32"/>
        </w:rPr>
        <w:t>技术创新中心的建设和运行管理，</w:t>
      </w:r>
      <w:r>
        <w:rPr>
          <w:rFonts w:hint="eastAsia" w:ascii="仿宋_GB2312" w:hAnsi="仿宋_GB2312" w:eastAsia="仿宋_GB2312" w:cs="仿宋_GB2312"/>
          <w:kern w:val="0"/>
          <w:sz w:val="32"/>
          <w:szCs w:val="32"/>
          <w:lang w:val="en-US" w:eastAsia="zh-CN"/>
        </w:rPr>
        <w:t>参照《河北省技术创新中心建设与运行管理办法》（冀科平规〔2023〕2号），</w:t>
      </w:r>
      <w:r>
        <w:rPr>
          <w:rFonts w:hint="eastAsia" w:ascii="仿宋_GB2312" w:hAnsi="仿宋_GB2312" w:eastAsia="仿宋_GB2312" w:cs="仿宋_GB2312"/>
          <w:kern w:val="0"/>
          <w:sz w:val="32"/>
          <w:szCs w:val="32"/>
        </w:rPr>
        <w:t>结合沧州实际，制定本办法。</w:t>
      </w:r>
    </w:p>
    <w:p w14:paraId="0884FEED">
      <w:pPr>
        <w:keepNext w:val="0"/>
        <w:keepLines w:val="0"/>
        <w:pageBreakBefore w:val="0"/>
        <w:widowControl/>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第二条</w:t>
      </w: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技术创新中心</w:t>
      </w:r>
      <w:r>
        <w:rPr>
          <w:rFonts w:hint="eastAsia" w:ascii="仿宋_GB2312" w:hAnsi="仿宋_GB2312" w:eastAsia="仿宋_GB2312" w:cs="仿宋_GB2312"/>
          <w:color w:val="auto"/>
          <w:sz w:val="32"/>
          <w:szCs w:val="32"/>
        </w:rPr>
        <w:t>是科技创新</w:t>
      </w:r>
      <w:r>
        <w:rPr>
          <w:rFonts w:hint="eastAsia" w:ascii="仿宋_GB2312" w:hAnsi="仿宋_GB2312" w:eastAsia="仿宋_GB2312" w:cs="仿宋_GB2312"/>
          <w:color w:val="auto"/>
          <w:sz w:val="32"/>
          <w:szCs w:val="32"/>
          <w:lang w:val="en-US" w:eastAsia="zh-CN"/>
        </w:rPr>
        <w:t>平台体系</w:t>
      </w:r>
      <w:r>
        <w:rPr>
          <w:rFonts w:hint="eastAsia" w:ascii="仿宋_GB2312" w:hAnsi="仿宋_GB2312" w:eastAsia="仿宋_GB2312" w:cs="仿宋_GB2312"/>
          <w:color w:val="auto"/>
          <w:sz w:val="32"/>
          <w:szCs w:val="32"/>
        </w:rPr>
        <w:t>的重要组成部分，其主要任务是开展关键核心技术研发和科技成果转化、培育专业技术人才、实施技术扩散与服务，打造企业创新生态，推动企业成为技术创新的主体。</w:t>
      </w:r>
    </w:p>
    <w:p w14:paraId="726B328C">
      <w:pPr>
        <w:keepNext w:val="0"/>
        <w:keepLines w:val="0"/>
        <w:pageBreakBefore w:val="0"/>
        <w:widowControl/>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第三条</w:t>
      </w: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技术创新中心</w:t>
      </w:r>
      <w:r>
        <w:rPr>
          <w:rFonts w:hint="eastAsia" w:ascii="仿宋_GB2312" w:hAnsi="仿宋_GB2312" w:eastAsia="仿宋_GB2312" w:cs="仿宋_GB2312"/>
          <w:color w:val="auto"/>
          <w:kern w:val="0"/>
          <w:sz w:val="32"/>
          <w:szCs w:val="32"/>
          <w:lang w:eastAsia="zh-CN"/>
        </w:rPr>
        <w:t>围绕提升“</w:t>
      </w:r>
      <w:r>
        <w:rPr>
          <w:rFonts w:hint="eastAsia" w:ascii="仿宋_GB2312" w:hAnsi="仿宋_GB2312" w:eastAsia="仿宋_GB2312" w:cs="仿宋_GB2312"/>
          <w:color w:val="auto"/>
          <w:kern w:val="0"/>
          <w:sz w:val="32"/>
          <w:szCs w:val="32"/>
          <w:lang w:val="en-US" w:eastAsia="zh-CN"/>
        </w:rPr>
        <w:t>2+8</w:t>
      </w:r>
      <w:r>
        <w:rPr>
          <w:rFonts w:hint="eastAsia" w:ascii="仿宋_GB2312" w:hAnsi="仿宋_GB2312" w:eastAsia="仿宋_GB2312" w:cs="仿宋_GB2312"/>
          <w:color w:val="auto"/>
          <w:kern w:val="0"/>
          <w:sz w:val="32"/>
          <w:szCs w:val="32"/>
          <w:lang w:eastAsia="zh-CN"/>
        </w:rPr>
        <w:t>”优势产业和县域特色产业集群层级，</w:t>
      </w:r>
      <w:r>
        <w:rPr>
          <w:rFonts w:hint="eastAsia" w:ascii="仿宋_GB2312" w:hAnsi="仿宋_GB2312" w:eastAsia="仿宋_GB2312" w:cs="仿宋_GB2312"/>
          <w:color w:val="auto"/>
          <w:kern w:val="0"/>
          <w:sz w:val="32"/>
          <w:szCs w:val="32"/>
        </w:rPr>
        <w:t>坚持“统筹布局、择优支持、</w:t>
      </w:r>
      <w:r>
        <w:rPr>
          <w:rFonts w:hint="eastAsia" w:ascii="仿宋_GB2312" w:hAnsi="仿宋_GB2312" w:eastAsia="仿宋_GB2312" w:cs="仿宋_GB2312"/>
          <w:color w:val="auto"/>
          <w:kern w:val="0"/>
          <w:sz w:val="32"/>
          <w:szCs w:val="32"/>
          <w:lang w:eastAsia="zh-CN"/>
        </w:rPr>
        <w:t>注重绩效、</w:t>
      </w:r>
      <w:r>
        <w:rPr>
          <w:rFonts w:hint="eastAsia" w:ascii="仿宋_GB2312" w:hAnsi="仿宋_GB2312" w:eastAsia="仿宋_GB2312" w:cs="仿宋_GB2312"/>
          <w:color w:val="auto"/>
          <w:kern w:val="0"/>
          <w:sz w:val="32"/>
          <w:szCs w:val="32"/>
        </w:rPr>
        <w:t>动态管理”的建设与管理机制。</w:t>
      </w:r>
    </w:p>
    <w:p w14:paraId="0AFE3D36">
      <w:pPr>
        <w:keepNext w:val="0"/>
        <w:keepLines w:val="0"/>
        <w:pageBreakBefore w:val="0"/>
        <w:widowControl/>
        <w:kinsoku/>
        <w:wordWrap/>
        <w:overflowPunct/>
        <w:topLinePunct w:val="0"/>
        <w:autoSpaceDE/>
        <w:autoSpaceDN/>
        <w:bidi w:val="0"/>
        <w:adjustRightInd/>
        <w:snapToGrid/>
        <w:spacing w:before="0" w:beforeLines="100" w:line="560" w:lineRule="exact"/>
        <w:ind w:left="0" w:left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第二章</w:t>
      </w:r>
      <w:r>
        <w:rPr>
          <w:rFonts w:hint="eastAsia" w:ascii="黑体" w:hAnsi="黑体" w:eastAsia="黑体" w:cs="黑体"/>
          <w:b w:val="0"/>
          <w:bCs w:val="0"/>
          <w:color w:val="auto"/>
          <w:kern w:val="0"/>
          <w:sz w:val="32"/>
          <w:szCs w:val="32"/>
          <w:lang w:val="en-US" w:eastAsia="zh-CN"/>
        </w:rPr>
        <w:t xml:space="preserve">  </w:t>
      </w:r>
      <w:r>
        <w:rPr>
          <w:rFonts w:hint="eastAsia" w:ascii="黑体" w:hAnsi="黑体" w:eastAsia="黑体" w:cs="黑体"/>
          <w:b w:val="0"/>
          <w:bCs w:val="0"/>
          <w:color w:val="auto"/>
          <w:kern w:val="0"/>
          <w:sz w:val="32"/>
          <w:szCs w:val="32"/>
        </w:rPr>
        <w:t>职</w:t>
      </w:r>
      <w:r>
        <w:rPr>
          <w:rFonts w:hint="eastAsia" w:ascii="黑体" w:hAnsi="黑体" w:eastAsia="黑体" w:cs="黑体"/>
          <w:b w:val="0"/>
          <w:bCs w:val="0"/>
          <w:color w:val="auto"/>
          <w:kern w:val="0"/>
          <w:sz w:val="32"/>
          <w:szCs w:val="32"/>
          <w:lang w:val="en-US" w:eastAsia="zh-CN"/>
        </w:rPr>
        <w:t xml:space="preserve">  </w:t>
      </w:r>
      <w:r>
        <w:rPr>
          <w:rFonts w:hint="eastAsia" w:ascii="黑体" w:hAnsi="黑体" w:eastAsia="黑体" w:cs="黑体"/>
          <w:b w:val="0"/>
          <w:bCs w:val="0"/>
          <w:color w:val="auto"/>
          <w:kern w:val="0"/>
          <w:sz w:val="32"/>
          <w:szCs w:val="32"/>
        </w:rPr>
        <w:t>责</w:t>
      </w:r>
    </w:p>
    <w:p w14:paraId="567F0361">
      <w:pPr>
        <w:keepNext w:val="0"/>
        <w:keepLines w:val="0"/>
        <w:pageBreakBefore w:val="0"/>
        <w:widowControl/>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 w:val="32"/>
          <w:szCs w:val="32"/>
        </w:rPr>
        <w:t>第四条</w:t>
      </w: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沧州市科学技术局（以下简称市科技局）是</w:t>
      </w:r>
      <w:r>
        <w:rPr>
          <w:rFonts w:hint="eastAsia" w:ascii="仿宋_GB2312" w:hAnsi="仿宋_GB2312" w:eastAsia="仿宋_GB2312" w:cs="仿宋_GB2312"/>
          <w:color w:val="auto"/>
          <w:kern w:val="0"/>
          <w:sz w:val="32"/>
          <w:szCs w:val="32"/>
          <w:lang w:val="en-US" w:eastAsia="zh-CN"/>
        </w:rPr>
        <w:t>全市</w:t>
      </w:r>
      <w:r>
        <w:rPr>
          <w:rFonts w:hint="eastAsia" w:ascii="仿宋_GB2312" w:hAnsi="仿宋_GB2312" w:eastAsia="仿宋_GB2312" w:cs="仿宋_GB2312"/>
          <w:bCs/>
          <w:color w:val="auto"/>
          <w:sz w:val="32"/>
          <w:szCs w:val="32"/>
        </w:rPr>
        <w:t>技术创新中心</w:t>
      </w:r>
      <w:r>
        <w:rPr>
          <w:rFonts w:hint="eastAsia" w:ascii="仿宋_GB2312" w:hAnsi="仿宋_GB2312" w:eastAsia="仿宋_GB2312" w:cs="仿宋_GB2312"/>
          <w:bCs/>
          <w:color w:val="auto"/>
          <w:sz w:val="32"/>
          <w:szCs w:val="32"/>
          <w:lang w:val="en-US" w:eastAsia="zh-CN"/>
        </w:rPr>
        <w:t>规划布局和宏观</w:t>
      </w:r>
      <w:r>
        <w:rPr>
          <w:rFonts w:hint="eastAsia" w:ascii="仿宋_GB2312" w:hAnsi="仿宋_GB2312" w:eastAsia="仿宋_GB2312" w:cs="仿宋_GB2312"/>
          <w:color w:val="auto"/>
          <w:kern w:val="0"/>
          <w:sz w:val="32"/>
          <w:szCs w:val="32"/>
        </w:rPr>
        <w:t>管理部门，主要职责是：</w:t>
      </w:r>
    </w:p>
    <w:p w14:paraId="7CC9EE07">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（一）贯彻和执行国家、省有关技术创新中心建设、管理的政策和规章</w:t>
      </w:r>
      <w:r>
        <w:rPr>
          <w:rFonts w:hint="eastAsia" w:ascii="仿宋_GB2312" w:hAnsi="仿宋_GB2312" w:eastAsia="仿宋_GB2312" w:cs="仿宋_GB2312"/>
          <w:kern w:val="0"/>
          <w:sz w:val="32"/>
          <w:szCs w:val="32"/>
          <w:lang w:eastAsia="zh-CN"/>
        </w:rPr>
        <w:t>。</w:t>
      </w:r>
    </w:p>
    <w:p w14:paraId="3781C80B">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制定</w:t>
      </w:r>
      <w:r>
        <w:rPr>
          <w:rFonts w:hint="eastAsia" w:ascii="仿宋_GB2312" w:hAnsi="仿宋_GB2312" w:eastAsia="仿宋_GB2312" w:cs="仿宋_GB2312"/>
          <w:bCs/>
          <w:sz w:val="32"/>
          <w:szCs w:val="32"/>
        </w:rPr>
        <w:t>技术创新中心</w:t>
      </w:r>
      <w:r>
        <w:rPr>
          <w:rFonts w:hint="eastAsia" w:ascii="仿宋_GB2312" w:hAnsi="仿宋_GB2312" w:eastAsia="仿宋_GB2312" w:cs="仿宋_GB2312"/>
          <w:bCs/>
          <w:sz w:val="32"/>
          <w:szCs w:val="32"/>
          <w:lang w:val="en-US" w:eastAsia="zh-CN"/>
        </w:rPr>
        <w:t>建设运行管理办法和工作规则。</w:t>
      </w:r>
    </w:p>
    <w:p w14:paraId="61B17402">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编制技术创新中心建设</w:t>
      </w:r>
      <w:r>
        <w:rPr>
          <w:rFonts w:hint="eastAsia" w:ascii="仿宋_GB2312" w:hAnsi="仿宋_GB2312" w:eastAsia="仿宋_GB2312" w:cs="仿宋_GB2312"/>
          <w:kern w:val="0"/>
          <w:sz w:val="32"/>
          <w:szCs w:val="32"/>
        </w:rPr>
        <w:t>发展</w:t>
      </w:r>
      <w:r>
        <w:rPr>
          <w:rFonts w:hint="eastAsia" w:ascii="仿宋_GB2312" w:hAnsi="仿宋_GB2312" w:eastAsia="仿宋_GB2312" w:cs="仿宋_GB2312"/>
          <w:kern w:val="0"/>
          <w:sz w:val="32"/>
          <w:szCs w:val="32"/>
          <w:lang w:val="en-US" w:eastAsia="zh-CN"/>
        </w:rPr>
        <w:t>的</w:t>
      </w:r>
      <w:r>
        <w:rPr>
          <w:rFonts w:hint="eastAsia" w:ascii="仿宋_GB2312" w:hAnsi="仿宋_GB2312" w:eastAsia="仿宋_GB2312" w:cs="仿宋_GB2312"/>
          <w:kern w:val="0"/>
          <w:sz w:val="32"/>
          <w:szCs w:val="32"/>
        </w:rPr>
        <w:t>规划</w:t>
      </w:r>
      <w:r>
        <w:rPr>
          <w:rFonts w:hint="eastAsia" w:ascii="仿宋_GB2312" w:hAnsi="仿宋_GB2312" w:eastAsia="仿宋_GB2312" w:cs="仿宋_GB2312"/>
          <w:kern w:val="0"/>
          <w:sz w:val="32"/>
          <w:szCs w:val="32"/>
          <w:lang w:val="en-US" w:eastAsia="zh-CN"/>
        </w:rPr>
        <w:t>和计划</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指导</w:t>
      </w:r>
      <w:r>
        <w:rPr>
          <w:rFonts w:hint="eastAsia" w:ascii="仿宋_GB2312" w:hAnsi="仿宋_GB2312" w:eastAsia="仿宋_GB2312" w:cs="仿宋_GB2312"/>
          <w:bCs/>
          <w:sz w:val="32"/>
          <w:szCs w:val="32"/>
        </w:rPr>
        <w:t>技术创新中心</w:t>
      </w:r>
      <w:r>
        <w:rPr>
          <w:rFonts w:hint="eastAsia" w:ascii="仿宋_GB2312" w:hAnsi="仿宋_GB2312" w:eastAsia="仿宋_GB2312" w:cs="仿宋_GB2312"/>
          <w:kern w:val="0"/>
          <w:sz w:val="32"/>
          <w:szCs w:val="32"/>
        </w:rPr>
        <w:t>的建设和运行。</w:t>
      </w:r>
    </w:p>
    <w:p w14:paraId="5D0BFB1F">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）组织技术创新中心管理与运行绩效评估</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以下简称绩效评估)。</w:t>
      </w:r>
    </w:p>
    <w:p w14:paraId="6FBC4D69">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）批准</w:t>
      </w:r>
      <w:r>
        <w:rPr>
          <w:rFonts w:hint="eastAsia" w:ascii="仿宋_GB2312" w:hAnsi="仿宋_GB2312" w:eastAsia="仿宋_GB2312" w:cs="仿宋_GB2312"/>
          <w:bCs/>
          <w:sz w:val="32"/>
          <w:szCs w:val="32"/>
        </w:rPr>
        <w:t>技术创新中心</w:t>
      </w:r>
      <w:r>
        <w:rPr>
          <w:rFonts w:hint="eastAsia" w:ascii="仿宋_GB2312" w:hAnsi="仿宋_GB2312" w:eastAsia="仿宋_GB2312" w:cs="仿宋_GB2312"/>
          <w:kern w:val="0"/>
          <w:sz w:val="32"/>
          <w:szCs w:val="32"/>
        </w:rPr>
        <w:t>的</w:t>
      </w:r>
      <w:r>
        <w:rPr>
          <w:rFonts w:hint="eastAsia" w:ascii="仿宋_GB2312" w:hAnsi="仿宋_GB2312" w:eastAsia="仿宋_GB2312" w:cs="仿宋_GB2312"/>
          <w:kern w:val="0"/>
          <w:sz w:val="32"/>
          <w:szCs w:val="32"/>
          <w:lang w:eastAsia="zh-CN"/>
        </w:rPr>
        <w:t>设</w:t>
      </w:r>
      <w:r>
        <w:rPr>
          <w:rFonts w:hint="eastAsia" w:ascii="仿宋_GB2312" w:hAnsi="仿宋_GB2312" w:eastAsia="仿宋_GB2312" w:cs="仿宋_GB2312"/>
          <w:kern w:val="0"/>
          <w:sz w:val="32"/>
          <w:szCs w:val="32"/>
        </w:rPr>
        <w:t>立、调整、重组和</w:t>
      </w:r>
      <w:r>
        <w:rPr>
          <w:rFonts w:hint="eastAsia" w:ascii="仿宋_GB2312" w:hAnsi="仿宋_GB2312" w:eastAsia="仿宋_GB2312" w:cs="仿宋_GB2312"/>
          <w:kern w:val="0"/>
          <w:sz w:val="32"/>
          <w:szCs w:val="32"/>
          <w:lang w:eastAsia="zh-CN"/>
        </w:rPr>
        <w:t>撤销</w:t>
      </w:r>
      <w:r>
        <w:rPr>
          <w:rFonts w:hint="eastAsia" w:ascii="仿宋_GB2312" w:hAnsi="仿宋_GB2312" w:eastAsia="仿宋_GB2312" w:cs="仿宋_GB2312"/>
          <w:kern w:val="0"/>
          <w:sz w:val="32"/>
          <w:szCs w:val="32"/>
        </w:rPr>
        <w:t>。</w:t>
      </w:r>
    </w:p>
    <w:p w14:paraId="695ADD91">
      <w:pPr>
        <w:keepNext w:val="0"/>
        <w:keepLines w:val="0"/>
        <w:pageBreakBefore w:val="0"/>
        <w:widowControl/>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kern w:val="0"/>
          <w:szCs w:val="21"/>
        </w:rPr>
      </w:pPr>
      <w:r>
        <w:rPr>
          <w:rFonts w:hint="eastAsia" w:ascii="仿宋_GB2312" w:hAnsi="仿宋_GB2312" w:eastAsia="仿宋_GB2312" w:cs="仿宋_GB2312"/>
          <w:b/>
          <w:bCs/>
          <w:kern w:val="0"/>
          <w:sz w:val="32"/>
          <w:szCs w:val="32"/>
        </w:rPr>
        <w:t>第五条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市直有关部门、</w:t>
      </w:r>
      <w:r>
        <w:rPr>
          <w:rFonts w:hint="eastAsia" w:ascii="仿宋_GB2312" w:hAnsi="仿宋_GB2312" w:eastAsia="仿宋_GB2312" w:cs="仿宋_GB2312"/>
          <w:kern w:val="0"/>
          <w:sz w:val="32"/>
          <w:szCs w:val="32"/>
          <w:lang w:eastAsia="zh-CN"/>
        </w:rPr>
        <w:t>县（市、区）</w:t>
      </w:r>
      <w:r>
        <w:rPr>
          <w:rFonts w:hint="eastAsia" w:ascii="仿宋_GB2312" w:hAnsi="仿宋_GB2312" w:eastAsia="仿宋_GB2312" w:cs="仿宋_GB2312"/>
          <w:kern w:val="0"/>
          <w:sz w:val="32"/>
          <w:szCs w:val="32"/>
        </w:rPr>
        <w:t>科技行政管理部门是</w:t>
      </w:r>
      <w:r>
        <w:rPr>
          <w:rFonts w:hint="eastAsia" w:ascii="仿宋_GB2312" w:hAnsi="仿宋_GB2312" w:eastAsia="仿宋_GB2312" w:cs="仿宋_GB2312"/>
          <w:bCs/>
          <w:sz w:val="32"/>
          <w:szCs w:val="32"/>
        </w:rPr>
        <w:t>技术创新中心</w:t>
      </w:r>
      <w:r>
        <w:rPr>
          <w:rFonts w:hint="eastAsia" w:ascii="仿宋_GB2312" w:hAnsi="仿宋_GB2312" w:eastAsia="仿宋_GB2312" w:cs="仿宋_GB2312"/>
          <w:kern w:val="0"/>
          <w:sz w:val="32"/>
          <w:szCs w:val="32"/>
        </w:rPr>
        <w:t>的归口管理部门，主要职责是：</w:t>
      </w:r>
    </w:p>
    <w:p w14:paraId="5DF2E023">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 w:val="32"/>
          <w:szCs w:val="32"/>
        </w:rPr>
        <w:t>（一）根据</w:t>
      </w:r>
      <w:r>
        <w:rPr>
          <w:rFonts w:hint="eastAsia" w:ascii="仿宋_GB2312" w:hAnsi="仿宋_GB2312" w:eastAsia="仿宋_GB2312" w:cs="仿宋_GB2312"/>
          <w:bCs/>
          <w:sz w:val="32"/>
          <w:szCs w:val="32"/>
        </w:rPr>
        <w:t>技术创新中心</w:t>
      </w:r>
      <w:r>
        <w:rPr>
          <w:rFonts w:hint="eastAsia" w:ascii="仿宋_GB2312" w:hAnsi="仿宋_GB2312" w:eastAsia="仿宋_GB2312" w:cs="仿宋_GB2312"/>
          <w:kern w:val="0"/>
          <w:sz w:val="32"/>
          <w:szCs w:val="32"/>
        </w:rPr>
        <w:t>总体发展规划，谋划并组织本领域本辖区</w:t>
      </w:r>
      <w:r>
        <w:rPr>
          <w:rFonts w:hint="eastAsia" w:ascii="仿宋_GB2312" w:hAnsi="仿宋_GB2312" w:eastAsia="仿宋_GB2312" w:cs="仿宋_GB2312"/>
          <w:bCs/>
          <w:sz w:val="32"/>
          <w:szCs w:val="32"/>
        </w:rPr>
        <w:t>技术创新中心</w:t>
      </w:r>
      <w:r>
        <w:rPr>
          <w:rFonts w:hint="eastAsia" w:ascii="仿宋_GB2312" w:hAnsi="仿宋_GB2312" w:eastAsia="仿宋_GB2312" w:cs="仿宋_GB2312"/>
          <w:kern w:val="0"/>
          <w:sz w:val="32"/>
          <w:szCs w:val="32"/>
        </w:rPr>
        <w:t>的培育和申报工作。</w:t>
      </w:r>
    </w:p>
    <w:p w14:paraId="498D7E19">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（二）指导技术创新中心的建设和运行，协调解决技术创新中心建设、运行和发展中的问题，统筹资源支持技术创新中心的建设和发展。</w:t>
      </w:r>
    </w:p>
    <w:p w14:paraId="542B67B0">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 w:val="32"/>
          <w:szCs w:val="32"/>
        </w:rPr>
        <w:t>（三）</w:t>
      </w:r>
      <w:r>
        <w:rPr>
          <w:rFonts w:hint="eastAsia" w:ascii="仿宋_GB2312" w:hAnsi="仿宋_GB2312" w:eastAsia="仿宋_GB2312" w:cs="仿宋_GB2312"/>
          <w:kern w:val="0"/>
          <w:sz w:val="32"/>
          <w:szCs w:val="32"/>
          <w:lang w:val="en-US" w:eastAsia="zh-CN"/>
        </w:rPr>
        <w:t>协助或受市科技局委托，</w:t>
      </w:r>
      <w:r>
        <w:rPr>
          <w:rFonts w:hint="eastAsia" w:ascii="仿宋_GB2312" w:hAnsi="仿宋_GB2312" w:eastAsia="仿宋_GB2312" w:cs="仿宋_GB2312"/>
          <w:kern w:val="0"/>
          <w:sz w:val="32"/>
          <w:szCs w:val="32"/>
        </w:rPr>
        <w:t>对辖区内</w:t>
      </w:r>
      <w:r>
        <w:rPr>
          <w:rFonts w:hint="eastAsia" w:ascii="仿宋_GB2312" w:hAnsi="仿宋_GB2312" w:eastAsia="仿宋_GB2312" w:cs="仿宋_GB2312"/>
          <w:bCs/>
          <w:sz w:val="32"/>
          <w:szCs w:val="32"/>
        </w:rPr>
        <w:t>技术创新中心</w:t>
      </w:r>
      <w:r>
        <w:rPr>
          <w:rFonts w:hint="eastAsia" w:ascii="仿宋_GB2312" w:hAnsi="仿宋_GB2312" w:eastAsia="仿宋_GB2312" w:cs="仿宋_GB2312"/>
          <w:kern w:val="0"/>
          <w:sz w:val="32"/>
          <w:szCs w:val="32"/>
          <w:lang w:val="en-US" w:eastAsia="zh-CN"/>
        </w:rPr>
        <w:t>进行</w:t>
      </w:r>
      <w:r>
        <w:rPr>
          <w:rFonts w:hint="eastAsia" w:ascii="仿宋_GB2312" w:hAnsi="仿宋_GB2312" w:eastAsia="仿宋_GB2312" w:cs="仿宋_GB2312"/>
          <w:kern w:val="0"/>
          <w:sz w:val="32"/>
          <w:szCs w:val="32"/>
        </w:rPr>
        <w:t>绩效评估。</w:t>
      </w:r>
    </w:p>
    <w:p w14:paraId="4538B561">
      <w:pPr>
        <w:keepNext w:val="0"/>
        <w:keepLines w:val="0"/>
        <w:pageBreakBefore w:val="0"/>
        <w:widowControl/>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kern w:val="0"/>
          <w:szCs w:val="21"/>
        </w:rPr>
      </w:pPr>
      <w:r>
        <w:rPr>
          <w:rFonts w:hint="eastAsia" w:ascii="仿宋_GB2312" w:hAnsi="仿宋_GB2312" w:eastAsia="仿宋_GB2312" w:cs="仿宋_GB2312"/>
          <w:b/>
          <w:bCs/>
          <w:kern w:val="0"/>
          <w:sz w:val="32"/>
          <w:szCs w:val="32"/>
        </w:rPr>
        <w:t>第六条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依托单位是</w:t>
      </w:r>
      <w:r>
        <w:rPr>
          <w:rFonts w:hint="eastAsia" w:ascii="仿宋_GB2312" w:hAnsi="仿宋_GB2312" w:eastAsia="仿宋_GB2312" w:cs="仿宋_GB2312"/>
          <w:bCs/>
          <w:sz w:val="32"/>
          <w:szCs w:val="32"/>
        </w:rPr>
        <w:t>技术创新中心</w:t>
      </w:r>
      <w:r>
        <w:rPr>
          <w:rFonts w:hint="eastAsia" w:ascii="仿宋_GB2312" w:hAnsi="仿宋_GB2312" w:eastAsia="仿宋_GB2312" w:cs="仿宋_GB2312"/>
          <w:kern w:val="0"/>
          <w:sz w:val="32"/>
          <w:szCs w:val="32"/>
        </w:rPr>
        <w:t>建设和运行管理的实施</w:t>
      </w:r>
      <w:r>
        <w:rPr>
          <w:rFonts w:hint="eastAsia" w:ascii="仿宋_GB2312" w:hAnsi="仿宋_GB2312" w:eastAsia="仿宋_GB2312" w:cs="仿宋_GB2312"/>
          <w:kern w:val="0"/>
          <w:sz w:val="32"/>
          <w:szCs w:val="32"/>
          <w:lang w:val="en-US" w:eastAsia="zh-CN"/>
        </w:rPr>
        <w:t>主体和责任</w:t>
      </w:r>
      <w:r>
        <w:rPr>
          <w:rFonts w:hint="eastAsia" w:ascii="仿宋_GB2312" w:hAnsi="仿宋_GB2312" w:eastAsia="仿宋_GB2312" w:cs="仿宋_GB2312"/>
          <w:kern w:val="0"/>
          <w:sz w:val="32"/>
          <w:szCs w:val="32"/>
        </w:rPr>
        <w:t>单位，主要职责是：</w:t>
      </w:r>
    </w:p>
    <w:p w14:paraId="1FDD870F">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（一）编制《申报书》和《实施方案》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建立健全技术创新中心的管理体制、工作体系、运行机制。</w:t>
      </w:r>
    </w:p>
    <w:p w14:paraId="61B52CBF">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（二）为技术创新中心建设、运行和发展提供相应的人员、经费、</w:t>
      </w:r>
      <w:r>
        <w:rPr>
          <w:rFonts w:hint="eastAsia" w:ascii="仿宋_GB2312" w:hAnsi="仿宋_GB2312" w:eastAsia="仿宋_GB2312" w:cs="仿宋_GB2312"/>
          <w:kern w:val="0"/>
          <w:sz w:val="32"/>
          <w:szCs w:val="32"/>
          <w:lang w:eastAsia="zh-CN"/>
        </w:rPr>
        <w:t>场所、</w:t>
      </w:r>
      <w:r>
        <w:rPr>
          <w:rFonts w:hint="eastAsia" w:ascii="仿宋_GB2312" w:hAnsi="仿宋_GB2312" w:eastAsia="仿宋_GB2312" w:cs="仿宋_GB2312"/>
          <w:kern w:val="0"/>
          <w:sz w:val="32"/>
          <w:szCs w:val="32"/>
        </w:rPr>
        <w:t>设施、政策等保障。</w:t>
      </w:r>
    </w:p>
    <w:p w14:paraId="5A6CD560">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（三）组建技术指导委员会，聘任技术指导委员会主任和成员。</w:t>
      </w:r>
    </w:p>
    <w:p w14:paraId="45F02F8B">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kern w:val="0"/>
          <w:sz w:val="32"/>
          <w:szCs w:val="32"/>
          <w:lang w:val="en-US" w:eastAsia="zh-CN"/>
        </w:rPr>
        <w:t>组建管理委员会，</w:t>
      </w:r>
      <w:r>
        <w:rPr>
          <w:rFonts w:hint="eastAsia" w:ascii="仿宋_GB2312" w:hAnsi="仿宋_GB2312" w:eastAsia="仿宋_GB2312" w:cs="仿宋_GB2312"/>
          <w:kern w:val="0"/>
          <w:sz w:val="32"/>
          <w:szCs w:val="32"/>
        </w:rPr>
        <w:t>聘任</w:t>
      </w:r>
      <w:r>
        <w:rPr>
          <w:rFonts w:hint="eastAsia" w:ascii="仿宋_GB2312" w:hAnsi="仿宋_GB2312" w:eastAsia="仿宋_GB2312" w:cs="仿宋_GB2312"/>
          <w:bCs/>
          <w:sz w:val="32"/>
          <w:szCs w:val="32"/>
        </w:rPr>
        <w:t>技术创新中心</w:t>
      </w:r>
      <w:r>
        <w:rPr>
          <w:rFonts w:hint="eastAsia" w:ascii="仿宋_GB2312" w:hAnsi="仿宋_GB2312" w:eastAsia="仿宋_GB2312" w:cs="仿宋_GB2312"/>
          <w:kern w:val="0"/>
          <w:sz w:val="32"/>
          <w:szCs w:val="32"/>
        </w:rPr>
        <w:t>主任</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对技术创新主任年度工作进行考核</w:t>
      </w:r>
      <w:r>
        <w:rPr>
          <w:rFonts w:hint="eastAsia" w:ascii="仿宋_GB2312" w:hAnsi="仿宋_GB2312" w:eastAsia="仿宋_GB2312" w:cs="仿宋_GB2312"/>
          <w:kern w:val="0"/>
          <w:sz w:val="32"/>
          <w:szCs w:val="32"/>
        </w:rPr>
        <w:t>。</w:t>
      </w:r>
    </w:p>
    <w:p w14:paraId="33F3D2C5">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 w:val="32"/>
          <w:szCs w:val="32"/>
        </w:rPr>
        <w:t>（五）接受市科技局和归口管理部门的管理和指导。</w:t>
      </w:r>
    </w:p>
    <w:p w14:paraId="2BE99D32">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（六）代表</w:t>
      </w:r>
      <w:r>
        <w:rPr>
          <w:rFonts w:hint="eastAsia" w:ascii="仿宋_GB2312" w:hAnsi="仿宋_GB2312" w:eastAsia="仿宋_GB2312" w:cs="仿宋_GB2312"/>
          <w:bCs/>
          <w:sz w:val="32"/>
          <w:szCs w:val="32"/>
        </w:rPr>
        <w:t>技术创新中心</w:t>
      </w:r>
      <w:r>
        <w:rPr>
          <w:rFonts w:hint="eastAsia" w:ascii="仿宋_GB2312" w:hAnsi="仿宋_GB2312" w:eastAsia="仿宋_GB2312" w:cs="仿宋_GB2312"/>
          <w:kern w:val="0"/>
          <w:sz w:val="32"/>
          <w:szCs w:val="32"/>
        </w:rPr>
        <w:t>对外履行法人义务，承担法人责任。</w:t>
      </w:r>
    </w:p>
    <w:p w14:paraId="3C404189">
      <w:pPr>
        <w:keepNext w:val="0"/>
        <w:keepLines w:val="0"/>
        <w:pageBreakBefore w:val="0"/>
        <w:kinsoku/>
        <w:wordWrap/>
        <w:overflowPunct/>
        <w:topLinePunct w:val="0"/>
        <w:autoSpaceDE w:val="0"/>
        <w:autoSpaceDN w:val="0"/>
        <w:bidi w:val="0"/>
        <w:adjustRightInd/>
        <w:snapToGrid/>
        <w:spacing w:line="560" w:lineRule="exact"/>
        <w:ind w:firstLine="643"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kern w:val="0"/>
          <w:sz w:val="32"/>
          <w:szCs w:val="32"/>
        </w:rPr>
        <w:t>第七条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color w:val="000000"/>
          <w:kern w:val="0"/>
          <w:sz w:val="32"/>
          <w:szCs w:val="32"/>
        </w:rPr>
        <w:t>共建单位是技术创新中心建设、运行和发展的协同单位，主要职责是：</w:t>
      </w:r>
    </w:p>
    <w:p w14:paraId="081EEB5B">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（一）明确参加技术创新中心建设与运行的具体机构和人员。</w:t>
      </w:r>
    </w:p>
    <w:p w14:paraId="2537B995">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（二）根据技术创新中心共建协议履行共建职责和义务，承担和完成分工负责的工作任务。</w:t>
      </w:r>
    </w:p>
    <w:p w14:paraId="65D75375">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（三）统筹单位的其他力量和资源，通过联合科研、成果转让、咨询服务、仪器设备共享等方式，支持技术创新中心的建设发展。</w:t>
      </w:r>
    </w:p>
    <w:p w14:paraId="10A9908A">
      <w:pPr>
        <w:keepNext w:val="0"/>
        <w:keepLines w:val="0"/>
        <w:pageBreakBefore w:val="0"/>
        <w:widowControl/>
        <w:kinsoku/>
        <w:wordWrap/>
        <w:overflowPunct/>
        <w:topLinePunct w:val="0"/>
        <w:autoSpaceDE/>
        <w:autoSpaceDN/>
        <w:bidi w:val="0"/>
        <w:adjustRightInd/>
        <w:snapToGrid/>
        <w:spacing w:before="0" w:beforeLines="100" w:line="560" w:lineRule="exact"/>
        <w:ind w:left="0" w:leftChars="0"/>
        <w:jc w:val="center"/>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第三章　申报与认定</w:t>
      </w:r>
    </w:p>
    <w:p w14:paraId="541ABA39">
      <w:pPr>
        <w:keepNext w:val="0"/>
        <w:keepLines w:val="0"/>
        <w:pageBreakBefore w:val="0"/>
        <w:widowControl/>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kern w:val="0"/>
          <w:szCs w:val="21"/>
        </w:rPr>
      </w:pPr>
      <w:r>
        <w:rPr>
          <w:rFonts w:hint="eastAsia" w:ascii="仿宋_GB2312" w:hAnsi="仿宋_GB2312" w:eastAsia="仿宋_GB2312" w:cs="仿宋_GB2312"/>
          <w:b/>
          <w:bCs/>
          <w:kern w:val="0"/>
          <w:sz w:val="32"/>
          <w:szCs w:val="32"/>
        </w:rPr>
        <w:t>第八条</w:t>
      </w:r>
      <w:r>
        <w:rPr>
          <w:rFonts w:hint="eastAsia" w:ascii="仿宋_GB2312" w:hAnsi="仿宋_GB2312" w:eastAsia="仿宋_GB2312" w:cs="仿宋_GB2312"/>
          <w:kern w:val="0"/>
          <w:sz w:val="32"/>
          <w:szCs w:val="32"/>
        </w:rPr>
        <w:t>　市科技局根据沧州市</w:t>
      </w:r>
      <w:r>
        <w:rPr>
          <w:rFonts w:hint="eastAsia" w:ascii="仿宋_GB2312" w:hAnsi="仿宋_GB2312" w:eastAsia="仿宋_GB2312" w:cs="仿宋_GB2312"/>
          <w:kern w:val="0"/>
          <w:sz w:val="32"/>
          <w:szCs w:val="32"/>
          <w:lang w:val="en-US" w:eastAsia="zh-CN"/>
        </w:rPr>
        <w:t>产业</w:t>
      </w:r>
      <w:r>
        <w:rPr>
          <w:rFonts w:hint="eastAsia" w:ascii="仿宋_GB2312" w:hAnsi="仿宋_GB2312" w:eastAsia="仿宋_GB2312" w:cs="仿宋_GB2312"/>
          <w:kern w:val="0"/>
          <w:sz w:val="32"/>
          <w:szCs w:val="32"/>
        </w:rPr>
        <w:t>发展规划、</w:t>
      </w:r>
      <w:r>
        <w:rPr>
          <w:rFonts w:hint="eastAsia" w:ascii="仿宋_GB2312" w:hAnsi="仿宋_GB2312" w:eastAsia="仿宋_GB2312" w:cs="仿宋_GB2312"/>
          <w:kern w:val="0"/>
          <w:sz w:val="32"/>
          <w:szCs w:val="32"/>
          <w:lang w:val="en-US" w:eastAsia="zh-CN"/>
        </w:rPr>
        <w:t>关键领域技术创新需求</w:t>
      </w:r>
      <w:r>
        <w:rPr>
          <w:rFonts w:hint="eastAsia" w:ascii="仿宋_GB2312" w:hAnsi="仿宋_GB2312" w:eastAsia="仿宋_GB2312" w:cs="仿宋_GB2312"/>
          <w:kern w:val="0"/>
          <w:sz w:val="32"/>
          <w:szCs w:val="32"/>
        </w:rPr>
        <w:t>和</w:t>
      </w:r>
      <w:r>
        <w:rPr>
          <w:rFonts w:hint="eastAsia" w:ascii="仿宋_GB2312" w:hAnsi="仿宋_GB2312" w:eastAsia="仿宋_GB2312" w:cs="仿宋_GB2312"/>
          <w:kern w:val="0"/>
          <w:sz w:val="32"/>
          <w:szCs w:val="32"/>
          <w:lang w:val="en-US" w:eastAsia="zh-CN"/>
        </w:rPr>
        <w:t>平台</w:t>
      </w:r>
      <w:r>
        <w:rPr>
          <w:rFonts w:hint="eastAsia" w:ascii="仿宋_GB2312" w:hAnsi="仿宋_GB2312" w:eastAsia="仿宋_GB2312" w:cs="仿宋_GB2312"/>
          <w:kern w:val="0"/>
          <w:sz w:val="32"/>
          <w:szCs w:val="32"/>
        </w:rPr>
        <w:t>总体</w:t>
      </w:r>
      <w:r>
        <w:rPr>
          <w:rFonts w:hint="eastAsia" w:ascii="仿宋_GB2312" w:hAnsi="仿宋_GB2312" w:eastAsia="仿宋_GB2312" w:cs="仿宋_GB2312"/>
          <w:kern w:val="0"/>
          <w:sz w:val="32"/>
          <w:szCs w:val="32"/>
          <w:lang w:eastAsia="zh-CN"/>
        </w:rPr>
        <w:t>建设规划</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加强顶层设计，按年度提出优先建设布局的领域，发布</w:t>
      </w:r>
      <w:r>
        <w:rPr>
          <w:rFonts w:hint="eastAsia" w:ascii="仿宋_GB2312" w:hAnsi="仿宋_GB2312" w:eastAsia="仿宋_GB2312" w:cs="仿宋_GB2312"/>
          <w:kern w:val="0"/>
          <w:sz w:val="32"/>
          <w:szCs w:val="32"/>
        </w:rPr>
        <w:t>申报通知。</w:t>
      </w:r>
    </w:p>
    <w:p w14:paraId="20671079">
      <w:pPr>
        <w:keepNext w:val="0"/>
        <w:keepLines w:val="0"/>
        <w:pageBreakBefore w:val="0"/>
        <w:widowControl/>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第九条</w:t>
      </w:r>
      <w:r>
        <w:rPr>
          <w:rFonts w:hint="eastAsia" w:ascii="仿宋_GB2312" w:hAnsi="仿宋_GB2312" w:eastAsia="仿宋_GB2312" w:cs="仿宋_GB2312"/>
          <w:kern w:val="0"/>
          <w:sz w:val="32"/>
          <w:szCs w:val="32"/>
        </w:rPr>
        <w:t>　申请建设技术创新中心应具备的基本条件：</w:t>
      </w:r>
    </w:p>
    <w:p w14:paraId="2CEFBDC9">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（一）依托单位是在沧州市域内注册的企业、高等学校、科研院所、技术机构等法人单位，在相关领域具有明显技术优势和影响力。</w:t>
      </w:r>
    </w:p>
    <w:p w14:paraId="04509AF8">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（二）依托单位是企业的，应建有相对独立研发机构，</w:t>
      </w:r>
      <w:r>
        <w:rPr>
          <w:rFonts w:hint="eastAsia" w:ascii="仿宋_GB2312" w:hAnsi="仿宋_GB2312" w:eastAsia="仿宋_GB2312" w:cs="仿宋_GB2312"/>
          <w:kern w:val="0"/>
          <w:sz w:val="32"/>
          <w:szCs w:val="32"/>
          <w:lang w:val="en-US" w:eastAsia="zh-CN"/>
        </w:rPr>
        <w:t>上一年销售收入应在1000万元以上，且</w:t>
      </w:r>
      <w:r>
        <w:rPr>
          <w:rFonts w:hint="eastAsia" w:ascii="仿宋_GB2312" w:hAnsi="仿宋_GB2312" w:eastAsia="仿宋_GB2312" w:cs="仿宋_GB2312"/>
          <w:kern w:val="0"/>
          <w:sz w:val="32"/>
          <w:szCs w:val="32"/>
        </w:rPr>
        <w:t>上年度科技经费投入不少于100万元。依托单位是高校、科研院所、技术机构的，须与省内1家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rPr>
        <w:t>含</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kern w:val="0"/>
          <w:sz w:val="32"/>
          <w:szCs w:val="32"/>
        </w:rPr>
        <w:t>以上企业联合共建。</w:t>
      </w:r>
    </w:p>
    <w:p w14:paraId="2355D27E">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（三）依托单位拥有具有自主知识产权的技术成果或专有技术</w:t>
      </w:r>
      <w:r>
        <w:rPr>
          <w:rFonts w:hint="eastAsia" w:ascii="仿宋_GB2312" w:hAnsi="仿宋_GB2312" w:eastAsia="仿宋_GB2312" w:cs="仿宋_GB2312"/>
          <w:kern w:val="0"/>
          <w:sz w:val="32"/>
          <w:szCs w:val="32"/>
          <w:lang w:eastAsia="zh-CN"/>
        </w:rPr>
        <w:t>，具</w:t>
      </w:r>
      <w:r>
        <w:rPr>
          <w:rFonts w:hint="eastAsia" w:ascii="仿宋_GB2312" w:hAnsi="仿宋_GB2312" w:eastAsia="仿宋_GB2312" w:cs="仿宋_GB2312"/>
          <w:kern w:val="0"/>
          <w:sz w:val="32"/>
          <w:szCs w:val="32"/>
        </w:rPr>
        <w:t>有产学研合作的基础，具备组织和承担科技创新项目的能力，具有科技成果转化和产业化的经验，能有效整合相关创新资源。</w:t>
      </w:r>
    </w:p>
    <w:p w14:paraId="2E7900AB">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（四）依托单位拥有较强的经济实力和良好信誉，能够为技术创新中心建设和发展提供必要的场地、人员、经费、仪器设备支持，能够承担建设和管理技术创新中心的责任。</w:t>
      </w:r>
    </w:p>
    <w:p w14:paraId="731B723D">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（五）技术创新中心拥有技术水平高、组织能力强的技术创新带头人和结构合理、创新能力强的研发团队，固定人员不少于</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人。</w:t>
      </w:r>
    </w:p>
    <w:p w14:paraId="7EFA915B">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（六）具有满足技术创新中心建设发展需要的科研办公场所、科研仪器设备、中间试验和检验检测能力。</w:t>
      </w:r>
    </w:p>
    <w:p w14:paraId="40AB699F">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（七）</w:t>
      </w:r>
      <w:r>
        <w:rPr>
          <w:rFonts w:hint="eastAsia" w:ascii="仿宋_GB2312" w:hAnsi="仿宋_GB2312" w:eastAsia="仿宋_GB2312" w:cs="仿宋_GB2312"/>
          <w:kern w:val="0"/>
          <w:sz w:val="32"/>
          <w:szCs w:val="32"/>
          <w:lang w:val="en-US" w:eastAsia="zh-CN"/>
        </w:rPr>
        <w:t>技术创新中心的名称、研发方向、研发内容明确具体，建设发展目标科学合理。</w:t>
      </w:r>
    </w:p>
    <w:p w14:paraId="6DA7525B">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八）联合共建技术创新中心的，依托单位与共建单位须签订共建协议，确定联合共建的方式、人员、任务分工以及各自权利和义务等。其中，依托单位自身的科研条件、研发人员、科研项目、科技成果必须占到60％以上。</w:t>
      </w:r>
    </w:p>
    <w:p w14:paraId="35277D5D">
      <w:pPr>
        <w:keepNext w:val="0"/>
        <w:keepLines w:val="0"/>
        <w:pageBreakBefore w:val="0"/>
        <w:widowControl/>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kern w:val="0"/>
          <w:szCs w:val="21"/>
        </w:rPr>
      </w:pPr>
      <w:r>
        <w:rPr>
          <w:rFonts w:hint="eastAsia" w:ascii="仿宋_GB2312" w:hAnsi="仿宋_GB2312" w:eastAsia="仿宋_GB2312" w:cs="仿宋_GB2312"/>
          <w:b/>
          <w:bCs/>
          <w:kern w:val="0"/>
          <w:sz w:val="32"/>
          <w:szCs w:val="32"/>
        </w:rPr>
        <w:t>第十条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val="0"/>
          <w:bCs w:val="0"/>
          <w:kern w:val="0"/>
          <w:sz w:val="32"/>
          <w:szCs w:val="32"/>
          <w:lang w:val="en-US" w:eastAsia="zh-CN"/>
        </w:rPr>
        <w:t>申请建设技术创新中心的单位，在市科技局发布申报通知后，应按通知</w:t>
      </w:r>
      <w:r>
        <w:rPr>
          <w:rFonts w:hint="eastAsia" w:ascii="仿宋_GB2312" w:hAnsi="仿宋_GB2312" w:eastAsia="仿宋_GB2312" w:cs="仿宋_GB2312"/>
          <w:kern w:val="0"/>
          <w:sz w:val="32"/>
          <w:szCs w:val="32"/>
        </w:rPr>
        <w:t>要求</w:t>
      </w:r>
      <w:r>
        <w:rPr>
          <w:rFonts w:hint="eastAsia" w:ascii="仿宋_GB2312" w:hAnsi="仿宋_GB2312" w:eastAsia="仿宋_GB2312" w:cs="仿宋_GB2312"/>
          <w:kern w:val="0"/>
          <w:sz w:val="32"/>
          <w:szCs w:val="32"/>
          <w:lang w:val="en-US" w:eastAsia="zh-CN"/>
        </w:rPr>
        <w:t>编制</w:t>
      </w:r>
      <w:r>
        <w:rPr>
          <w:rFonts w:hint="eastAsia" w:ascii="仿宋_GB2312" w:hAnsi="仿宋_GB2312" w:eastAsia="仿宋_GB2312" w:cs="仿宋_GB2312"/>
          <w:kern w:val="0"/>
          <w:sz w:val="32"/>
          <w:szCs w:val="32"/>
        </w:rPr>
        <w:t>《申</w:t>
      </w:r>
      <w:r>
        <w:rPr>
          <w:rFonts w:hint="eastAsia" w:ascii="仿宋_GB2312" w:hAnsi="仿宋_GB2312" w:eastAsia="仿宋_GB2312" w:cs="仿宋_GB2312"/>
          <w:kern w:val="0"/>
          <w:sz w:val="32"/>
          <w:szCs w:val="32"/>
          <w:lang w:val="en-US" w:eastAsia="zh-CN"/>
        </w:rPr>
        <w:t>报</w:t>
      </w:r>
      <w:r>
        <w:rPr>
          <w:rFonts w:hint="eastAsia" w:ascii="仿宋_GB2312" w:hAnsi="仿宋_GB2312" w:eastAsia="仿宋_GB2312" w:cs="仿宋_GB2312"/>
          <w:kern w:val="0"/>
          <w:sz w:val="32"/>
          <w:szCs w:val="32"/>
        </w:rPr>
        <w:t>书》</w:t>
      </w:r>
      <w:r>
        <w:rPr>
          <w:rFonts w:hint="eastAsia" w:ascii="仿宋_GB2312" w:hAnsi="仿宋_GB2312" w:eastAsia="仿宋_GB2312" w:cs="仿宋_GB2312"/>
          <w:kern w:val="0"/>
          <w:sz w:val="32"/>
          <w:szCs w:val="32"/>
          <w:lang w:val="en-US" w:eastAsia="zh-CN"/>
        </w:rPr>
        <w:t>和《实施方案》等材料</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向本单位</w:t>
      </w:r>
      <w:r>
        <w:rPr>
          <w:rFonts w:hint="eastAsia" w:ascii="仿宋_GB2312" w:hAnsi="仿宋_GB2312" w:eastAsia="仿宋_GB2312" w:cs="仿宋_GB2312"/>
          <w:kern w:val="0"/>
          <w:sz w:val="32"/>
          <w:szCs w:val="32"/>
        </w:rPr>
        <w:t>归口管理部门</w:t>
      </w:r>
      <w:r>
        <w:rPr>
          <w:rFonts w:hint="eastAsia" w:ascii="仿宋_GB2312" w:hAnsi="仿宋_GB2312" w:eastAsia="仿宋_GB2312" w:cs="仿宋_GB2312"/>
          <w:kern w:val="0"/>
          <w:sz w:val="32"/>
          <w:szCs w:val="32"/>
          <w:lang w:val="en-US" w:eastAsia="zh-CN"/>
        </w:rPr>
        <w:t>提出建设申请，并对材料的完整性和真实性负责。归口管理部门按照技术创新中心优先布局领域，结合本地产业发展实际需求，</w:t>
      </w:r>
      <w:r>
        <w:rPr>
          <w:rFonts w:hint="eastAsia" w:ascii="仿宋_GB2312" w:hAnsi="仿宋_GB2312" w:eastAsia="仿宋_GB2312" w:cs="仿宋_GB2312"/>
          <w:kern w:val="0"/>
          <w:sz w:val="32"/>
          <w:szCs w:val="32"/>
        </w:rPr>
        <w:t>向市科技局推荐</w:t>
      </w:r>
      <w:r>
        <w:rPr>
          <w:rFonts w:hint="eastAsia" w:ascii="仿宋_GB2312" w:hAnsi="仿宋_GB2312" w:eastAsia="仿宋_GB2312" w:cs="仿宋_GB2312"/>
          <w:kern w:val="0"/>
          <w:sz w:val="32"/>
          <w:szCs w:val="32"/>
          <w:lang w:val="en-US" w:eastAsia="zh-CN"/>
        </w:rPr>
        <w:t>符合条件建设单位的申请</w:t>
      </w:r>
      <w:r>
        <w:rPr>
          <w:rFonts w:hint="eastAsia" w:ascii="仿宋_GB2312" w:hAnsi="仿宋_GB2312" w:eastAsia="仿宋_GB2312" w:cs="仿宋_GB2312"/>
          <w:kern w:val="0"/>
          <w:sz w:val="32"/>
          <w:szCs w:val="32"/>
        </w:rPr>
        <w:t>。</w:t>
      </w:r>
    </w:p>
    <w:p w14:paraId="2076657F">
      <w:pPr>
        <w:keepNext w:val="0"/>
        <w:keepLines w:val="0"/>
        <w:pageBreakBefore w:val="0"/>
        <w:widowControl/>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rPr>
        <w:t>第十一条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市科技局受理申请，对其进行初审，初审合格的，</w:t>
      </w:r>
      <w:r>
        <w:rPr>
          <w:rFonts w:hint="eastAsia" w:ascii="仿宋_GB2312" w:hAnsi="仿宋_GB2312" w:eastAsia="仿宋_GB2312" w:cs="仿宋_GB2312"/>
          <w:kern w:val="0"/>
          <w:sz w:val="32"/>
          <w:szCs w:val="32"/>
          <w:lang w:val="en-US" w:eastAsia="zh-CN"/>
        </w:rPr>
        <w:t>组织</w:t>
      </w:r>
      <w:r>
        <w:rPr>
          <w:rFonts w:hint="eastAsia" w:ascii="仿宋_GB2312" w:hAnsi="仿宋_GB2312" w:eastAsia="仿宋_GB2312" w:cs="仿宋_GB2312"/>
          <w:kern w:val="0"/>
          <w:sz w:val="32"/>
          <w:szCs w:val="32"/>
        </w:rPr>
        <w:t>专家</w:t>
      </w:r>
      <w:r>
        <w:rPr>
          <w:rFonts w:hint="eastAsia" w:ascii="仿宋_GB2312" w:hAnsi="仿宋_GB2312" w:eastAsia="仿宋_GB2312" w:cs="仿宋_GB2312"/>
          <w:kern w:val="0"/>
          <w:sz w:val="32"/>
          <w:szCs w:val="32"/>
          <w:lang w:val="en-US" w:eastAsia="zh-CN"/>
        </w:rPr>
        <w:t>进行</w:t>
      </w:r>
      <w:r>
        <w:rPr>
          <w:rFonts w:hint="eastAsia" w:ascii="仿宋_GB2312" w:hAnsi="仿宋_GB2312" w:eastAsia="仿宋_GB2312" w:cs="仿宋_GB2312"/>
          <w:kern w:val="0"/>
          <w:sz w:val="32"/>
          <w:szCs w:val="32"/>
        </w:rPr>
        <w:t>评审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必要时进行</w:t>
      </w:r>
      <w:r>
        <w:rPr>
          <w:rFonts w:hint="eastAsia" w:ascii="仿宋_GB2312" w:hAnsi="仿宋_GB2312" w:eastAsia="仿宋_GB2312" w:cs="仿宋_GB2312"/>
          <w:kern w:val="0"/>
          <w:sz w:val="32"/>
          <w:szCs w:val="32"/>
        </w:rPr>
        <w:t>现场考察</w:t>
      </w:r>
      <w:r>
        <w:rPr>
          <w:rFonts w:hint="eastAsia" w:ascii="仿宋_GB2312" w:hAnsi="仿宋_GB2312" w:eastAsia="仿宋_GB2312" w:cs="仿宋_GB2312"/>
          <w:kern w:val="0"/>
          <w:sz w:val="32"/>
          <w:szCs w:val="32"/>
          <w:lang w:val="en-US" w:eastAsia="zh-CN"/>
        </w:rPr>
        <w:t>核查</w:t>
      </w:r>
      <w:r>
        <w:rPr>
          <w:rFonts w:hint="eastAsia" w:ascii="仿宋_GB2312" w:hAnsi="仿宋_GB2312" w:eastAsia="仿宋_GB2312" w:cs="仿宋_GB2312"/>
          <w:kern w:val="0"/>
          <w:sz w:val="32"/>
          <w:szCs w:val="32"/>
          <w:lang w:eastAsia="zh-CN"/>
        </w:rPr>
        <w:t>。</w:t>
      </w:r>
    </w:p>
    <w:p w14:paraId="47013459">
      <w:pPr>
        <w:keepNext w:val="0"/>
        <w:keepLines w:val="0"/>
        <w:pageBreakBefore w:val="0"/>
        <w:widowControl/>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kern w:val="0"/>
          <w:szCs w:val="21"/>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二</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市科技局</w:t>
      </w:r>
      <w:r>
        <w:rPr>
          <w:rFonts w:hint="eastAsia" w:ascii="仿宋_GB2312" w:hAnsi="仿宋_GB2312" w:eastAsia="仿宋_GB2312" w:cs="仿宋_GB2312"/>
          <w:kern w:val="0"/>
          <w:sz w:val="32"/>
          <w:szCs w:val="32"/>
          <w:lang w:val="en-US" w:eastAsia="zh-CN"/>
        </w:rPr>
        <w:t>根据专家评审结果，按照</w:t>
      </w:r>
      <w:r>
        <w:rPr>
          <w:rFonts w:hint="eastAsia" w:ascii="仿宋_GB2312" w:hAnsi="仿宋_GB2312" w:eastAsia="仿宋_GB2312" w:cs="仿宋_GB2312"/>
          <w:color w:val="auto"/>
          <w:kern w:val="0"/>
          <w:sz w:val="32"/>
          <w:szCs w:val="32"/>
          <w:lang w:val="en-US" w:eastAsia="zh-CN"/>
        </w:rPr>
        <w:t>优中选优、满足需求、突出重点的原则，</w:t>
      </w:r>
      <w:r>
        <w:rPr>
          <w:rFonts w:hint="eastAsia" w:ascii="仿宋_GB2312" w:hAnsi="仿宋_GB2312" w:eastAsia="仿宋_GB2312" w:cs="仿宋_GB2312"/>
          <w:color w:val="auto"/>
          <w:kern w:val="0"/>
          <w:sz w:val="32"/>
          <w:szCs w:val="32"/>
        </w:rPr>
        <w:t>确定拟新建</w:t>
      </w:r>
      <w:r>
        <w:rPr>
          <w:rFonts w:hint="eastAsia" w:ascii="仿宋_GB2312" w:hAnsi="仿宋_GB2312" w:eastAsia="仿宋_GB2312" w:cs="仿宋_GB2312"/>
          <w:bCs/>
          <w:color w:val="auto"/>
          <w:sz w:val="32"/>
          <w:szCs w:val="32"/>
        </w:rPr>
        <w:t>技术创新中心</w:t>
      </w:r>
      <w:r>
        <w:rPr>
          <w:rFonts w:hint="eastAsia" w:ascii="仿宋_GB2312" w:hAnsi="仿宋_GB2312" w:eastAsia="仿宋_GB2312" w:cs="仿宋_GB2312"/>
          <w:color w:val="auto"/>
          <w:kern w:val="0"/>
          <w:sz w:val="32"/>
          <w:szCs w:val="32"/>
        </w:rPr>
        <w:t>名单，经局</w:t>
      </w:r>
      <w:r>
        <w:rPr>
          <w:rFonts w:hint="eastAsia" w:ascii="仿宋_GB2312" w:hAnsi="仿宋_GB2312" w:eastAsia="仿宋_GB2312" w:cs="仿宋_GB2312"/>
          <w:color w:val="auto"/>
          <w:kern w:val="0"/>
          <w:sz w:val="32"/>
          <w:szCs w:val="32"/>
          <w:lang w:eastAsia="zh-CN"/>
        </w:rPr>
        <w:t>党组会</w:t>
      </w:r>
      <w:r>
        <w:rPr>
          <w:rFonts w:hint="eastAsia" w:ascii="仿宋_GB2312" w:hAnsi="仿宋_GB2312" w:eastAsia="仿宋_GB2312" w:cs="仿宋_GB2312"/>
          <w:color w:val="auto"/>
          <w:kern w:val="0"/>
          <w:sz w:val="32"/>
          <w:szCs w:val="32"/>
        </w:rPr>
        <w:t>研究同意后进行公示，</w:t>
      </w:r>
      <w:r>
        <w:rPr>
          <w:rFonts w:hint="eastAsia" w:ascii="仿宋_GB2312" w:hAnsi="仿宋_GB2312" w:eastAsia="仿宋_GB2312" w:cs="仿宋_GB2312"/>
          <w:kern w:val="0"/>
          <w:sz w:val="32"/>
          <w:szCs w:val="32"/>
        </w:rPr>
        <w:t>经公示无异议的，纳入市级</w:t>
      </w:r>
      <w:r>
        <w:rPr>
          <w:rFonts w:hint="eastAsia" w:ascii="仿宋_GB2312" w:hAnsi="仿宋_GB2312" w:eastAsia="仿宋_GB2312" w:cs="仿宋_GB2312"/>
          <w:bCs/>
          <w:sz w:val="32"/>
          <w:szCs w:val="32"/>
        </w:rPr>
        <w:t>技术创新中心</w:t>
      </w:r>
      <w:r>
        <w:rPr>
          <w:rFonts w:hint="eastAsia" w:ascii="仿宋_GB2312" w:hAnsi="仿宋_GB2312" w:eastAsia="仿宋_GB2312" w:cs="仿宋_GB2312"/>
          <w:kern w:val="0"/>
          <w:sz w:val="32"/>
          <w:szCs w:val="32"/>
        </w:rPr>
        <w:t>管理</w:t>
      </w:r>
      <w:r>
        <w:rPr>
          <w:rFonts w:hint="eastAsia" w:ascii="仿宋_GB2312" w:hAnsi="仿宋_GB2312" w:eastAsia="仿宋_GB2312" w:cs="仿宋_GB2312"/>
          <w:kern w:val="0"/>
          <w:sz w:val="32"/>
          <w:szCs w:val="32"/>
          <w:lang w:val="en-US" w:eastAsia="zh-CN"/>
        </w:rPr>
        <w:t>序列</w:t>
      </w:r>
      <w:r>
        <w:rPr>
          <w:rFonts w:hint="eastAsia" w:ascii="仿宋_GB2312" w:hAnsi="仿宋_GB2312" w:eastAsia="仿宋_GB2312" w:cs="仿宋_GB2312"/>
          <w:kern w:val="0"/>
          <w:sz w:val="32"/>
          <w:szCs w:val="32"/>
        </w:rPr>
        <w:t>。</w:t>
      </w:r>
    </w:p>
    <w:p w14:paraId="45D8EFFC">
      <w:pPr>
        <w:keepNext w:val="0"/>
        <w:keepLines w:val="0"/>
        <w:pageBreakBefore w:val="0"/>
        <w:widowControl/>
        <w:kinsoku/>
        <w:wordWrap/>
        <w:overflowPunct/>
        <w:topLinePunct w:val="0"/>
        <w:autoSpaceDE/>
        <w:autoSpaceDN/>
        <w:bidi w:val="0"/>
        <w:adjustRightInd/>
        <w:snapToGrid/>
        <w:spacing w:before="0" w:beforeLines="100" w:line="560" w:lineRule="exact"/>
        <w:jc w:val="center"/>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第四章　运行管理</w:t>
      </w:r>
    </w:p>
    <w:p w14:paraId="2E7B6D64">
      <w:pPr>
        <w:keepNext w:val="0"/>
        <w:keepLines w:val="0"/>
        <w:pageBreakBefore w:val="0"/>
        <w:widowControl/>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kern w:val="0"/>
          <w:szCs w:val="21"/>
        </w:rPr>
      </w:pPr>
      <w:r>
        <w:rPr>
          <w:rFonts w:hint="eastAsia" w:ascii="仿宋_GB2312" w:hAnsi="仿宋_GB2312" w:eastAsia="仿宋_GB2312" w:cs="仿宋_GB2312"/>
          <w:b/>
          <w:bCs/>
          <w:kern w:val="0"/>
          <w:sz w:val="32"/>
          <w:szCs w:val="32"/>
        </w:rPr>
        <w:t>第十三条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bCs/>
          <w:sz w:val="32"/>
          <w:szCs w:val="32"/>
        </w:rPr>
        <w:t>技术创新中心</w:t>
      </w:r>
      <w:r>
        <w:rPr>
          <w:rFonts w:hint="eastAsia" w:ascii="仿宋_GB2312" w:hAnsi="仿宋_GB2312" w:eastAsia="仿宋_GB2312" w:cs="仿宋_GB2312"/>
          <w:kern w:val="0"/>
          <w:sz w:val="32"/>
          <w:szCs w:val="32"/>
        </w:rPr>
        <w:t>实行</w:t>
      </w:r>
      <w:r>
        <w:rPr>
          <w:rFonts w:hint="eastAsia" w:ascii="仿宋_GB2312" w:hAnsi="仿宋_GB2312" w:eastAsia="仿宋_GB2312" w:cs="仿宋_GB2312"/>
          <w:kern w:val="0"/>
          <w:sz w:val="32"/>
          <w:szCs w:val="32"/>
          <w:lang w:val="en-US" w:eastAsia="zh-CN"/>
        </w:rPr>
        <w:t>管理委员会</w:t>
      </w:r>
      <w:r>
        <w:rPr>
          <w:rFonts w:hint="eastAsia" w:ascii="仿宋_GB2312" w:hAnsi="仿宋_GB2312" w:eastAsia="仿宋_GB2312" w:cs="仿宋_GB2312"/>
          <w:kern w:val="0"/>
          <w:sz w:val="32"/>
          <w:szCs w:val="32"/>
        </w:rPr>
        <w:t>领导下的主任负责制，</w:t>
      </w:r>
      <w:r>
        <w:rPr>
          <w:rFonts w:hint="eastAsia" w:ascii="仿宋_GB2312" w:hAnsi="仿宋_GB2312" w:eastAsia="仿宋_GB2312" w:cs="仿宋_GB2312"/>
          <w:kern w:val="0"/>
          <w:sz w:val="32"/>
          <w:szCs w:val="32"/>
          <w:lang w:val="en-US" w:eastAsia="zh-CN"/>
        </w:rPr>
        <w:t>建立相对独立的运行机制，技术指导委员会负责技术指导和业务咨询工作。</w:t>
      </w:r>
    </w:p>
    <w:p w14:paraId="2ECE43E9">
      <w:pPr>
        <w:keepNext w:val="0"/>
        <w:keepLines w:val="0"/>
        <w:pageBreakBefore w:val="0"/>
        <w:widowControl/>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b w:val="0"/>
          <w:bCs w:val="0"/>
          <w:color w:val="FF0000"/>
          <w:kern w:val="0"/>
          <w:sz w:val="32"/>
          <w:szCs w:val="32"/>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四</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val="0"/>
          <w:bCs w:val="0"/>
          <w:color w:val="auto"/>
          <w:kern w:val="0"/>
          <w:sz w:val="32"/>
          <w:szCs w:val="32"/>
        </w:rPr>
        <w:t>技术创新中心须由依托单位、共建单位的人员组成管理委员会，无共建单位的由依托单位相关人员组成，明确工作职责，健全工作制度，每年定期召开会议，研究审定技术创新中心的发展计划、重大项目、经费预决算、主任聘用等重大事项，为技术创新中心规范建设、科学管理和持续发展提供决策支持和人财物等保障。</w:t>
      </w:r>
    </w:p>
    <w:p w14:paraId="5DE5DBA0">
      <w:pPr>
        <w:keepNext w:val="0"/>
        <w:keepLines w:val="0"/>
        <w:pageBreakBefore w:val="0"/>
        <w:widowControl/>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bCs/>
          <w:color w:val="auto"/>
          <w:kern w:val="0"/>
          <w:sz w:val="32"/>
          <w:szCs w:val="32"/>
        </w:rPr>
        <w:t>第十</w:t>
      </w:r>
      <w:r>
        <w:rPr>
          <w:rFonts w:hint="eastAsia" w:ascii="仿宋_GB2312" w:hAnsi="仿宋_GB2312" w:eastAsia="仿宋_GB2312" w:cs="仿宋_GB2312"/>
          <w:b/>
          <w:bCs/>
          <w:color w:val="auto"/>
          <w:kern w:val="0"/>
          <w:sz w:val="32"/>
          <w:szCs w:val="32"/>
          <w:lang w:val="en-US" w:eastAsia="zh-CN"/>
        </w:rPr>
        <w:t>五</w:t>
      </w:r>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 w:val="0"/>
          <w:bCs w:val="0"/>
          <w:color w:val="auto"/>
          <w:kern w:val="0"/>
          <w:sz w:val="32"/>
          <w:szCs w:val="32"/>
        </w:rPr>
        <w:t>技术创新中心须设立由高等院校、科研院所、技术机构、行业协会</w:t>
      </w:r>
      <w:r>
        <w:rPr>
          <w:rFonts w:hint="eastAsia" w:ascii="仿宋_GB2312" w:hAnsi="仿宋_GB2312" w:eastAsia="仿宋_GB2312" w:cs="仿宋_GB2312"/>
          <w:b w:val="0"/>
          <w:bCs w:val="0"/>
          <w:color w:val="auto"/>
          <w:kern w:val="0"/>
          <w:sz w:val="32"/>
          <w:szCs w:val="32"/>
          <w:lang w:eastAsia="zh-CN"/>
        </w:rPr>
        <w:t>、依托单位和共建单位及</w:t>
      </w:r>
      <w:r>
        <w:rPr>
          <w:rFonts w:hint="eastAsia" w:ascii="仿宋_GB2312" w:hAnsi="仿宋_GB2312" w:eastAsia="仿宋_GB2312" w:cs="仿宋_GB2312"/>
          <w:b w:val="0"/>
          <w:bCs w:val="0"/>
          <w:color w:val="auto"/>
          <w:kern w:val="0"/>
          <w:sz w:val="32"/>
          <w:szCs w:val="32"/>
        </w:rPr>
        <w:t>上下游企业的技术经济专家和技术创新中心负责人员组成技术指导委员会，其中依托单位和共建单位的人员不超过三分之一</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技术指导委员会主任应由非依托单位、共建单位的有影响的专家担任。技术指导委员会每年至少召开一次会议，对技术创新中心的研发方向和研发内容、科研计划和项目、知识产权管理和技术服务、重大学术活动以及年度工作等提出咨询指导意见。</w:t>
      </w:r>
    </w:p>
    <w:p w14:paraId="5C8D3F77">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六</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val="0"/>
          <w:bCs w:val="0"/>
          <w:kern w:val="0"/>
          <w:sz w:val="32"/>
          <w:szCs w:val="32"/>
        </w:rPr>
        <w:t>技术创新中心主任应具有较强的科技创新工作组织管理能力。主任的聘任与调整须经管理委员会研究、依托单位决定，报归口管理部门和</w:t>
      </w:r>
      <w:r>
        <w:rPr>
          <w:rFonts w:hint="eastAsia" w:ascii="仿宋_GB2312" w:hAnsi="仿宋_GB2312" w:eastAsia="仿宋_GB2312" w:cs="仿宋_GB2312"/>
          <w:b w:val="0"/>
          <w:bCs w:val="0"/>
          <w:kern w:val="0"/>
          <w:sz w:val="32"/>
          <w:szCs w:val="32"/>
          <w:lang w:val="en-US" w:eastAsia="zh-CN"/>
        </w:rPr>
        <w:t>市科技局</w:t>
      </w:r>
      <w:r>
        <w:rPr>
          <w:rFonts w:hint="eastAsia" w:ascii="仿宋_GB2312" w:hAnsi="仿宋_GB2312" w:eastAsia="仿宋_GB2312" w:cs="仿宋_GB2312"/>
          <w:b w:val="0"/>
          <w:bCs w:val="0"/>
          <w:kern w:val="0"/>
          <w:sz w:val="32"/>
          <w:szCs w:val="32"/>
        </w:rPr>
        <w:t>备案。</w:t>
      </w:r>
    </w:p>
    <w:p w14:paraId="6B93E199">
      <w:pPr>
        <w:keepNext w:val="0"/>
        <w:keepLines w:val="0"/>
        <w:pageBreakBefore w:val="0"/>
        <w:widowControl/>
        <w:kinsoku/>
        <w:wordWrap/>
        <w:overflowPunct/>
        <w:topLinePunct w:val="0"/>
        <w:bidi w:val="0"/>
        <w:adjustRightInd/>
        <w:snapToGrid/>
        <w:spacing w:line="560" w:lineRule="exact"/>
        <w:ind w:firstLine="645"/>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七</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val="0"/>
          <w:bCs w:val="0"/>
          <w:kern w:val="0"/>
          <w:sz w:val="32"/>
          <w:szCs w:val="32"/>
        </w:rPr>
        <w:t>管理委员会应赋予主任在技术创新中心内部岗位设置、科研活动组织、工作任务安排、人员调整、绩效奖励等方面的一定自主权。</w:t>
      </w:r>
    </w:p>
    <w:p w14:paraId="285A16C8">
      <w:pPr>
        <w:keepNext w:val="0"/>
        <w:keepLines w:val="0"/>
        <w:pageBreakBefore w:val="0"/>
        <w:widowControl/>
        <w:kinsoku/>
        <w:wordWrap/>
        <w:overflowPunct/>
        <w:topLinePunct w:val="0"/>
        <w:bidi w:val="0"/>
        <w:adjustRightInd/>
        <w:snapToGrid/>
        <w:spacing w:line="560" w:lineRule="exact"/>
        <w:ind w:firstLine="645"/>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十八</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val="0"/>
          <w:bCs w:val="0"/>
          <w:kern w:val="0"/>
          <w:sz w:val="32"/>
          <w:szCs w:val="32"/>
        </w:rPr>
        <w:t>技术创新中心须建立健全内部工作机构，按照研发方向和重点任务设立研究开发室</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组</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，明确技术带头人和成员，加强研究开发课题组织、科研</w:t>
      </w:r>
      <w:r>
        <w:rPr>
          <w:rFonts w:hint="eastAsia" w:ascii="仿宋_GB2312" w:hAnsi="仿宋_GB2312" w:eastAsia="仿宋_GB2312" w:cs="仿宋_GB2312"/>
          <w:b w:val="0"/>
          <w:bCs w:val="0"/>
          <w:kern w:val="0"/>
          <w:sz w:val="32"/>
          <w:szCs w:val="32"/>
          <w:lang w:eastAsia="zh-CN"/>
        </w:rPr>
        <w:t>经费支持和</w:t>
      </w:r>
      <w:r>
        <w:rPr>
          <w:rFonts w:hint="eastAsia" w:ascii="仿宋_GB2312" w:hAnsi="仿宋_GB2312" w:eastAsia="仿宋_GB2312" w:cs="仿宋_GB2312"/>
          <w:b w:val="0"/>
          <w:bCs w:val="0"/>
          <w:kern w:val="0"/>
          <w:sz w:val="32"/>
          <w:szCs w:val="32"/>
        </w:rPr>
        <w:t>仪器配备、人才引进和培养，完善科研开发工作体系。</w:t>
      </w:r>
    </w:p>
    <w:p w14:paraId="3A113DC3">
      <w:pPr>
        <w:keepNext w:val="0"/>
        <w:keepLines w:val="0"/>
        <w:pageBreakBefore w:val="0"/>
        <w:widowControl/>
        <w:kinsoku/>
        <w:wordWrap/>
        <w:overflowPunct/>
        <w:topLinePunct w:val="0"/>
        <w:bidi w:val="0"/>
        <w:adjustRightInd/>
        <w:snapToGrid/>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九</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Cs/>
          <w:sz w:val="32"/>
          <w:szCs w:val="32"/>
        </w:rPr>
        <w:t>技术创新中心</w:t>
      </w:r>
      <w:r>
        <w:rPr>
          <w:rFonts w:hint="eastAsia" w:ascii="仿宋_GB2312" w:hAnsi="仿宋_GB2312" w:eastAsia="仿宋_GB2312" w:cs="仿宋_GB2312"/>
          <w:sz w:val="32"/>
          <w:szCs w:val="32"/>
        </w:rPr>
        <w:t>应制订研发计划、设立研发项目，组织开展自主创新、集成创新、消化吸收再创新等工作，突破行业、领域发展的共性关键技术和难题，提升科研开发综合实力。</w:t>
      </w:r>
    </w:p>
    <w:p w14:paraId="1CFE4086">
      <w:pPr>
        <w:keepNext w:val="0"/>
        <w:keepLines w:val="0"/>
        <w:pageBreakBefore w:val="0"/>
        <w:widowControl/>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kern w:val="0"/>
          <w:szCs w:val="21"/>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二十</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sz w:val="32"/>
          <w:szCs w:val="32"/>
          <w:lang w:val="en-US" w:eastAsia="zh-CN"/>
        </w:rPr>
        <w:t>技术创新中心应不断完善研究开发、中间试验、分析检测等设施和条件。</w:t>
      </w:r>
      <w:r>
        <w:rPr>
          <w:rFonts w:hint="eastAsia" w:ascii="仿宋_GB2312" w:hAnsi="仿宋_GB2312" w:eastAsia="仿宋_GB2312" w:cs="仿宋_GB2312"/>
          <w:sz w:val="32"/>
          <w:szCs w:val="32"/>
        </w:rPr>
        <w:t>大型科学仪器</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纳入省大型科研仪器设备资源开放共享服务平台管理，面向社会开放服务。</w:t>
      </w:r>
    </w:p>
    <w:p w14:paraId="0D654B9C">
      <w:pPr>
        <w:keepNext w:val="0"/>
        <w:keepLines w:val="0"/>
        <w:pageBreakBefore w:val="0"/>
        <w:widowControl/>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lang w:val="en-US" w:eastAsia="zh-CN"/>
        </w:rPr>
        <w:t xml:space="preserve">第二十一条 </w:t>
      </w:r>
      <w:r>
        <w:rPr>
          <w:rFonts w:hint="eastAsia" w:ascii="仿宋_GB2312" w:hAnsi="仿宋_GB2312" w:eastAsia="仿宋_GB2312" w:cs="仿宋_GB2312"/>
          <w:bCs/>
          <w:sz w:val="32"/>
          <w:szCs w:val="32"/>
        </w:rPr>
        <w:t>技术创新中心应建立开放运行机制，</w:t>
      </w:r>
      <w:r>
        <w:rPr>
          <w:rFonts w:hint="eastAsia" w:ascii="仿宋_GB2312" w:hAnsi="仿宋_GB2312" w:eastAsia="仿宋_GB2312" w:cs="仿宋_GB2312"/>
          <w:bCs/>
          <w:sz w:val="32"/>
          <w:szCs w:val="32"/>
          <w:lang w:eastAsia="zh-CN"/>
        </w:rPr>
        <w:t>加强与高校、科研院所合作，</w:t>
      </w:r>
      <w:r>
        <w:rPr>
          <w:rFonts w:hint="eastAsia" w:ascii="仿宋_GB2312" w:hAnsi="仿宋_GB2312" w:eastAsia="仿宋_GB2312" w:cs="仿宋_GB2312"/>
          <w:bCs/>
          <w:sz w:val="32"/>
          <w:szCs w:val="32"/>
        </w:rPr>
        <w:t>强化产学研联合创新和京津冀协同创新，积极开展委托科研、联合科研、受托科研、学术技术交流和产学研对接活动。</w:t>
      </w:r>
    </w:p>
    <w:p w14:paraId="7B744E6D">
      <w:pPr>
        <w:keepNext w:val="0"/>
        <w:keepLines w:val="0"/>
        <w:pageBreakBefore w:val="0"/>
        <w:widowControl/>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color w:val="auto"/>
          <w:sz w:val="32"/>
          <w:szCs w:val="32"/>
        </w:rPr>
        <w:t>第二十</w:t>
      </w: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rPr>
        <w:t>条</w:t>
      </w:r>
      <w:r>
        <w:rPr>
          <w:rFonts w:hint="eastAsia" w:ascii="仿宋_GB2312" w:hAnsi="仿宋_GB2312" w:eastAsia="仿宋_GB2312" w:cs="仿宋_GB2312"/>
          <w:b/>
          <w:bCs w:val="0"/>
          <w:color w:val="auto"/>
          <w:sz w:val="32"/>
          <w:szCs w:val="32"/>
          <w:lang w:val="en-US" w:eastAsia="zh-CN"/>
        </w:rPr>
        <w:t xml:space="preserve"> </w:t>
      </w:r>
      <w:r>
        <w:rPr>
          <w:rFonts w:hint="eastAsia" w:ascii="仿宋_GB2312" w:hAnsi="仿宋_GB2312" w:eastAsia="仿宋_GB2312" w:cs="仿宋_GB2312"/>
          <w:bCs/>
          <w:sz w:val="32"/>
          <w:szCs w:val="32"/>
        </w:rPr>
        <w:t>技术创新中心应完善内部管理制度，配备专职管理人员，建立健全对资产管理、经费使用、人员管理、科研工作等方面的管理规章，加强内部运行管理。</w:t>
      </w:r>
    </w:p>
    <w:p w14:paraId="67FA0832">
      <w:pPr>
        <w:keepNext w:val="0"/>
        <w:keepLines w:val="0"/>
        <w:pageBreakBefore w:val="0"/>
        <w:widowControl/>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第二十</w:t>
      </w:r>
      <w:r>
        <w:rPr>
          <w:rFonts w:hint="eastAsia" w:ascii="仿宋_GB2312" w:hAnsi="仿宋_GB2312" w:eastAsia="仿宋_GB2312" w:cs="仿宋_GB2312"/>
          <w:b/>
          <w:bCs/>
          <w:kern w:val="0"/>
          <w:sz w:val="32"/>
          <w:szCs w:val="32"/>
          <w:lang w:val="en-US" w:eastAsia="zh-CN"/>
        </w:rPr>
        <w:t>三</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sz w:val="32"/>
          <w:szCs w:val="32"/>
        </w:rPr>
        <w:t>技术创新中心</w:t>
      </w:r>
      <w:r>
        <w:rPr>
          <w:rFonts w:hint="eastAsia" w:ascii="仿宋_GB2312" w:hAnsi="仿宋_GB2312" w:eastAsia="仿宋_GB2312" w:cs="仿宋_GB2312"/>
          <w:kern w:val="0"/>
          <w:sz w:val="32"/>
          <w:szCs w:val="32"/>
        </w:rPr>
        <w:t>经费纳入依托单位财务统一管理，设立专账、独立核算。财政支持的</w:t>
      </w:r>
      <w:r>
        <w:rPr>
          <w:rFonts w:hint="eastAsia" w:ascii="仿宋_GB2312" w:hAnsi="仿宋_GB2312" w:eastAsia="仿宋_GB2312" w:cs="仿宋_GB2312"/>
          <w:sz w:val="32"/>
          <w:szCs w:val="32"/>
        </w:rPr>
        <w:t>技术创新中心</w:t>
      </w:r>
      <w:r>
        <w:rPr>
          <w:rFonts w:hint="eastAsia" w:ascii="仿宋_GB2312" w:hAnsi="仿宋_GB2312" w:eastAsia="仿宋_GB2312" w:cs="仿宋_GB2312"/>
          <w:kern w:val="0"/>
          <w:sz w:val="32"/>
          <w:szCs w:val="32"/>
        </w:rPr>
        <w:t>科技经费应纳入依托单位财务统一管理，单独核算、专款专用。</w:t>
      </w:r>
    </w:p>
    <w:p w14:paraId="0212577F">
      <w:pPr>
        <w:keepNext w:val="0"/>
        <w:keepLines w:val="0"/>
        <w:pageBreakBefore w:val="0"/>
        <w:kinsoku/>
        <w:wordWrap/>
        <w:overflowPunct/>
        <w:topLinePunct w:val="0"/>
        <w:bidi w:val="0"/>
        <w:adjustRightInd/>
        <w:snapToGrid/>
        <w:spacing w:line="560" w:lineRule="exact"/>
        <w:ind w:firstLine="630"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第二十</w:t>
      </w:r>
      <w:r>
        <w:rPr>
          <w:rFonts w:hint="eastAsia" w:ascii="仿宋_GB2312" w:hAnsi="仿宋_GB2312" w:eastAsia="仿宋_GB2312" w:cs="仿宋_GB2312"/>
          <w:b/>
          <w:bCs/>
          <w:kern w:val="0"/>
          <w:sz w:val="32"/>
          <w:szCs w:val="32"/>
          <w:lang w:val="en-US" w:eastAsia="zh-CN"/>
        </w:rPr>
        <w:t>四</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Cs/>
          <w:sz w:val="32"/>
          <w:szCs w:val="32"/>
        </w:rPr>
        <w:t>技术创新中心</w:t>
      </w:r>
      <w:r>
        <w:rPr>
          <w:rFonts w:hint="eastAsia" w:ascii="仿宋_GB2312" w:hAnsi="仿宋_GB2312" w:eastAsia="仿宋_GB2312" w:cs="仿宋_GB2312"/>
          <w:kern w:val="0"/>
          <w:sz w:val="32"/>
          <w:szCs w:val="32"/>
        </w:rPr>
        <w:t>应</w:t>
      </w:r>
      <w:r>
        <w:rPr>
          <w:rFonts w:hint="eastAsia" w:ascii="仿宋_GB2312" w:hAnsi="仿宋_GB2312" w:eastAsia="仿宋_GB2312" w:cs="仿宋_GB2312"/>
          <w:kern w:val="0"/>
          <w:sz w:val="32"/>
          <w:szCs w:val="32"/>
          <w:lang w:val="en-US" w:eastAsia="zh-CN"/>
        </w:rPr>
        <w:t>强化</w:t>
      </w:r>
      <w:r>
        <w:rPr>
          <w:rFonts w:hint="eastAsia" w:ascii="仿宋_GB2312" w:hAnsi="仿宋_GB2312" w:eastAsia="仿宋_GB2312" w:cs="仿宋_GB2312"/>
          <w:kern w:val="0"/>
          <w:sz w:val="32"/>
          <w:szCs w:val="32"/>
        </w:rPr>
        <w:t>知识产权</w:t>
      </w:r>
      <w:r>
        <w:rPr>
          <w:rFonts w:hint="eastAsia" w:ascii="仿宋_GB2312" w:hAnsi="仿宋_GB2312" w:eastAsia="仿宋_GB2312" w:cs="仿宋_GB2312"/>
          <w:kern w:val="0"/>
          <w:sz w:val="32"/>
          <w:szCs w:val="32"/>
          <w:lang w:val="en-US" w:eastAsia="zh-CN"/>
        </w:rPr>
        <w:t>的创造、</w:t>
      </w:r>
      <w:r>
        <w:rPr>
          <w:rFonts w:hint="eastAsia" w:ascii="仿宋_GB2312" w:hAnsi="仿宋_GB2312" w:eastAsia="仿宋_GB2312" w:cs="仿宋_GB2312"/>
          <w:kern w:val="0"/>
          <w:sz w:val="32"/>
          <w:szCs w:val="32"/>
        </w:rPr>
        <w:t>保护</w:t>
      </w:r>
      <w:r>
        <w:rPr>
          <w:rFonts w:hint="eastAsia" w:ascii="仿宋_GB2312" w:hAnsi="仿宋_GB2312" w:eastAsia="仿宋_GB2312" w:cs="仿宋_GB2312"/>
          <w:kern w:val="0"/>
          <w:sz w:val="32"/>
          <w:szCs w:val="32"/>
          <w:lang w:val="en-US" w:eastAsia="zh-CN"/>
        </w:rPr>
        <w:t>和运用</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承担科研开发项目发表的论文、专著等，应标注</w:t>
      </w:r>
      <w:r>
        <w:rPr>
          <w:rFonts w:hint="eastAsia" w:ascii="仿宋_GB2312" w:hAnsi="仿宋_GB2312" w:eastAsia="仿宋_GB2312" w:cs="仿宋_GB2312"/>
          <w:bCs/>
          <w:sz w:val="32"/>
          <w:szCs w:val="32"/>
        </w:rPr>
        <w:t>技术创新中心</w:t>
      </w:r>
      <w:r>
        <w:rPr>
          <w:rFonts w:hint="eastAsia" w:ascii="仿宋_GB2312" w:hAnsi="仿宋_GB2312" w:eastAsia="仿宋_GB2312" w:cs="仿宋_GB2312"/>
          <w:sz w:val="32"/>
          <w:szCs w:val="32"/>
        </w:rPr>
        <w:t>的名称。</w:t>
      </w:r>
    </w:p>
    <w:p w14:paraId="3F95C0EA">
      <w:pPr>
        <w:keepNext w:val="0"/>
        <w:keepLines w:val="0"/>
        <w:pageBreakBefore w:val="0"/>
        <w:widowControl/>
        <w:kinsoku/>
        <w:wordWrap/>
        <w:overflowPunct/>
        <w:topLinePunct w:val="0"/>
        <w:autoSpaceDE/>
        <w:autoSpaceDN/>
        <w:bidi w:val="0"/>
        <w:adjustRightInd/>
        <w:snapToGrid/>
        <w:spacing w:before="0" w:beforeLines="100" w:line="560" w:lineRule="exact"/>
        <w:jc w:val="center"/>
        <w:textAlignment w:val="auto"/>
        <w:rPr>
          <w:rFonts w:hint="default"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rPr>
        <w:t>第</w:t>
      </w:r>
      <w:r>
        <w:rPr>
          <w:rFonts w:hint="eastAsia" w:ascii="黑体" w:hAnsi="黑体" w:eastAsia="黑体" w:cs="黑体"/>
          <w:b w:val="0"/>
          <w:bCs w:val="0"/>
          <w:kern w:val="0"/>
          <w:sz w:val="32"/>
          <w:szCs w:val="32"/>
          <w:lang w:val="en-US" w:eastAsia="zh-CN"/>
        </w:rPr>
        <w:t>五</w:t>
      </w:r>
      <w:r>
        <w:rPr>
          <w:rFonts w:hint="eastAsia" w:ascii="黑体" w:hAnsi="黑体" w:eastAsia="黑体" w:cs="黑体"/>
          <w:b w:val="0"/>
          <w:bCs w:val="0"/>
          <w:kern w:val="0"/>
          <w:sz w:val="32"/>
          <w:szCs w:val="32"/>
        </w:rPr>
        <w:t>章　</w:t>
      </w:r>
      <w:r>
        <w:rPr>
          <w:rFonts w:hint="eastAsia" w:ascii="黑体" w:hAnsi="黑体" w:eastAsia="黑体" w:cs="黑体"/>
          <w:b w:val="0"/>
          <w:bCs w:val="0"/>
          <w:kern w:val="0"/>
          <w:sz w:val="32"/>
          <w:szCs w:val="32"/>
          <w:lang w:val="en-US" w:eastAsia="zh-CN"/>
        </w:rPr>
        <w:t>绩效评估</w:t>
      </w:r>
      <w:r>
        <w:rPr>
          <w:rFonts w:hint="eastAsia" w:ascii="黑体" w:hAnsi="黑体" w:eastAsia="黑体" w:cs="黑体"/>
          <w:b w:val="0"/>
          <w:bCs w:val="0"/>
          <w:kern w:val="0"/>
          <w:sz w:val="32"/>
          <w:szCs w:val="32"/>
        </w:rPr>
        <w:t>与</w:t>
      </w:r>
      <w:r>
        <w:rPr>
          <w:rFonts w:hint="eastAsia" w:ascii="黑体" w:hAnsi="黑体" w:eastAsia="黑体" w:cs="黑体"/>
          <w:b w:val="0"/>
          <w:bCs w:val="0"/>
          <w:kern w:val="0"/>
          <w:sz w:val="32"/>
          <w:szCs w:val="32"/>
          <w:lang w:val="en-US" w:eastAsia="zh-CN"/>
        </w:rPr>
        <w:t>动态管理</w:t>
      </w:r>
    </w:p>
    <w:p w14:paraId="2CCB53C1">
      <w:pPr>
        <w:keepNext w:val="0"/>
        <w:keepLines w:val="0"/>
        <w:pageBreakBefore w:val="0"/>
        <w:widowControl/>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二十五</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val="0"/>
          <w:bCs w:val="0"/>
          <w:kern w:val="0"/>
          <w:sz w:val="32"/>
          <w:szCs w:val="32"/>
          <w:lang w:val="en-US" w:eastAsia="zh-CN"/>
        </w:rPr>
        <w:t>市科技局</w:t>
      </w:r>
      <w:r>
        <w:rPr>
          <w:rFonts w:hint="eastAsia" w:ascii="仿宋_GB2312" w:hAnsi="仿宋_GB2312" w:eastAsia="仿宋_GB2312" w:cs="仿宋_GB2312"/>
          <w:b w:val="0"/>
          <w:bCs w:val="0"/>
          <w:kern w:val="0"/>
          <w:sz w:val="32"/>
          <w:szCs w:val="32"/>
        </w:rPr>
        <w:t>根据《</w:t>
      </w:r>
      <w:r>
        <w:rPr>
          <w:rFonts w:hint="eastAsia" w:ascii="仿宋_GB2312" w:hAnsi="仿宋_GB2312" w:eastAsia="仿宋_GB2312" w:cs="仿宋_GB2312"/>
          <w:b w:val="0"/>
          <w:bCs w:val="0"/>
          <w:kern w:val="0"/>
          <w:sz w:val="32"/>
          <w:szCs w:val="32"/>
          <w:lang w:val="en-US" w:eastAsia="zh-CN"/>
        </w:rPr>
        <w:t>沧州市</w:t>
      </w:r>
      <w:r>
        <w:rPr>
          <w:rFonts w:hint="eastAsia" w:ascii="仿宋_GB2312" w:hAnsi="仿宋_GB2312" w:eastAsia="仿宋_GB2312" w:cs="仿宋_GB2312"/>
          <w:b w:val="0"/>
          <w:bCs w:val="0"/>
          <w:kern w:val="0"/>
          <w:sz w:val="32"/>
          <w:szCs w:val="32"/>
        </w:rPr>
        <w:t>技术创新中心绩效评估指标体系》</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附表</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,委托</w:t>
      </w:r>
      <w:r>
        <w:rPr>
          <w:rFonts w:hint="eastAsia" w:ascii="仿宋_GB2312" w:hAnsi="仿宋_GB2312" w:eastAsia="仿宋_GB2312" w:cs="仿宋_GB2312"/>
          <w:b w:val="0"/>
          <w:bCs w:val="0"/>
          <w:kern w:val="0"/>
          <w:sz w:val="32"/>
          <w:szCs w:val="32"/>
          <w:lang w:eastAsia="zh-CN"/>
        </w:rPr>
        <w:t>专家或</w:t>
      </w:r>
      <w:r>
        <w:rPr>
          <w:rFonts w:hint="eastAsia" w:ascii="仿宋_GB2312" w:hAnsi="仿宋_GB2312" w:eastAsia="仿宋_GB2312" w:cs="仿宋_GB2312"/>
          <w:b w:val="0"/>
          <w:bCs w:val="0"/>
          <w:kern w:val="0"/>
          <w:sz w:val="32"/>
          <w:szCs w:val="32"/>
        </w:rPr>
        <w:t>第三方专业机构对技术创新中心进行绩效评估，原则上每两年组织一次</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评估结果向社会公示。</w:t>
      </w:r>
    </w:p>
    <w:p w14:paraId="268012E3">
      <w:pPr>
        <w:keepNext w:val="0"/>
        <w:keepLines w:val="0"/>
        <w:pageBreakBefore w:val="0"/>
        <w:widowControl/>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bCs/>
          <w:color w:val="auto"/>
          <w:kern w:val="0"/>
          <w:sz w:val="32"/>
          <w:szCs w:val="32"/>
        </w:rPr>
        <w:t>第</w:t>
      </w:r>
      <w:r>
        <w:rPr>
          <w:rFonts w:hint="eastAsia" w:ascii="仿宋_GB2312" w:hAnsi="仿宋_GB2312" w:eastAsia="仿宋_GB2312" w:cs="仿宋_GB2312"/>
          <w:b/>
          <w:bCs/>
          <w:color w:val="auto"/>
          <w:kern w:val="0"/>
          <w:sz w:val="32"/>
          <w:szCs w:val="32"/>
          <w:lang w:val="en-US" w:eastAsia="zh-CN"/>
        </w:rPr>
        <w:t>二十六</w:t>
      </w:r>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市</w:t>
      </w:r>
      <w:r>
        <w:rPr>
          <w:rFonts w:hint="eastAsia" w:ascii="仿宋_GB2312" w:hAnsi="仿宋_GB2312" w:eastAsia="仿宋_GB2312" w:cs="仿宋_GB2312"/>
          <w:color w:val="auto"/>
          <w:kern w:val="0"/>
          <w:sz w:val="32"/>
          <w:szCs w:val="32"/>
          <w:lang w:val="en-US" w:eastAsia="zh-CN"/>
        </w:rPr>
        <w:t>科技局</w:t>
      </w:r>
      <w:r>
        <w:rPr>
          <w:rFonts w:hint="eastAsia" w:ascii="仿宋_GB2312" w:hAnsi="仿宋_GB2312" w:eastAsia="仿宋_GB2312" w:cs="仿宋_GB2312"/>
          <w:color w:val="auto"/>
          <w:kern w:val="0"/>
          <w:sz w:val="32"/>
          <w:szCs w:val="32"/>
        </w:rPr>
        <w:t>于评</w:t>
      </w:r>
      <w:r>
        <w:rPr>
          <w:rFonts w:hint="eastAsia" w:ascii="仿宋_GB2312" w:hAnsi="仿宋_GB2312" w:eastAsia="仿宋_GB2312" w:cs="仿宋_GB2312"/>
          <w:color w:val="auto"/>
          <w:kern w:val="0"/>
          <w:sz w:val="32"/>
          <w:szCs w:val="32"/>
          <w:lang w:val="en-US" w:eastAsia="zh-CN"/>
        </w:rPr>
        <w:t>估</w:t>
      </w:r>
      <w:r>
        <w:rPr>
          <w:rFonts w:hint="eastAsia" w:ascii="仿宋_GB2312" w:hAnsi="仿宋_GB2312" w:eastAsia="仿宋_GB2312" w:cs="仿宋_GB2312"/>
          <w:color w:val="auto"/>
          <w:kern w:val="0"/>
          <w:sz w:val="32"/>
          <w:szCs w:val="32"/>
        </w:rPr>
        <w:t>年度发布</w:t>
      </w:r>
      <w:r>
        <w:rPr>
          <w:rFonts w:hint="eastAsia" w:ascii="仿宋_GB2312" w:hAnsi="仿宋_GB2312" w:eastAsia="仿宋_GB2312" w:cs="仿宋_GB2312"/>
          <w:color w:val="auto"/>
          <w:kern w:val="0"/>
          <w:sz w:val="32"/>
          <w:szCs w:val="32"/>
          <w:lang w:val="en-US" w:eastAsia="zh-CN"/>
        </w:rPr>
        <w:t>绩效</w:t>
      </w:r>
      <w:r>
        <w:rPr>
          <w:rFonts w:hint="eastAsia" w:ascii="仿宋_GB2312" w:hAnsi="仿宋_GB2312" w:eastAsia="仿宋_GB2312" w:cs="仿宋_GB2312"/>
          <w:color w:val="auto"/>
          <w:kern w:val="0"/>
          <w:sz w:val="32"/>
          <w:szCs w:val="32"/>
        </w:rPr>
        <w:t>评</w:t>
      </w:r>
      <w:r>
        <w:rPr>
          <w:rFonts w:hint="eastAsia" w:ascii="仿宋_GB2312" w:hAnsi="仿宋_GB2312" w:eastAsia="仿宋_GB2312" w:cs="仿宋_GB2312"/>
          <w:color w:val="auto"/>
          <w:kern w:val="0"/>
          <w:sz w:val="32"/>
          <w:szCs w:val="32"/>
          <w:lang w:val="en-US" w:eastAsia="zh-CN"/>
        </w:rPr>
        <w:t>估</w:t>
      </w:r>
      <w:r>
        <w:rPr>
          <w:rFonts w:hint="eastAsia" w:ascii="仿宋_GB2312" w:hAnsi="仿宋_GB2312" w:eastAsia="仿宋_GB2312" w:cs="仿宋_GB2312"/>
          <w:color w:val="auto"/>
          <w:kern w:val="0"/>
          <w:sz w:val="32"/>
          <w:szCs w:val="32"/>
        </w:rPr>
        <w:t>工作通知，已认定两年及以上</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按年度</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的</w:t>
      </w:r>
      <w:r>
        <w:rPr>
          <w:rFonts w:hint="eastAsia" w:ascii="仿宋_GB2312" w:hAnsi="仿宋_GB2312" w:eastAsia="仿宋_GB2312" w:cs="仿宋_GB2312"/>
          <w:color w:val="auto"/>
          <w:kern w:val="0"/>
          <w:sz w:val="32"/>
          <w:szCs w:val="32"/>
          <w:lang w:val="en-US" w:eastAsia="zh-CN"/>
        </w:rPr>
        <w:t>技术创新</w:t>
      </w:r>
      <w:r>
        <w:rPr>
          <w:rFonts w:hint="eastAsia" w:ascii="仿宋_GB2312" w:hAnsi="仿宋_GB2312" w:eastAsia="仿宋_GB2312" w:cs="仿宋_GB2312"/>
          <w:color w:val="auto"/>
          <w:kern w:val="0"/>
          <w:sz w:val="32"/>
          <w:szCs w:val="32"/>
        </w:rPr>
        <w:t>中心，须参加</w:t>
      </w:r>
      <w:r>
        <w:rPr>
          <w:rFonts w:hint="eastAsia" w:ascii="仿宋_GB2312" w:hAnsi="仿宋_GB2312" w:eastAsia="仿宋_GB2312" w:cs="仿宋_GB2312"/>
          <w:color w:val="auto"/>
          <w:kern w:val="0"/>
          <w:sz w:val="32"/>
          <w:szCs w:val="32"/>
          <w:lang w:val="en-US" w:eastAsia="zh-CN"/>
        </w:rPr>
        <w:t>绩效评估</w:t>
      </w:r>
      <w:r>
        <w:rPr>
          <w:rFonts w:hint="eastAsia" w:ascii="仿宋_GB2312" w:hAnsi="仿宋_GB2312" w:eastAsia="仿宋_GB2312" w:cs="仿宋_GB2312"/>
          <w:color w:val="auto"/>
          <w:kern w:val="0"/>
          <w:sz w:val="32"/>
          <w:szCs w:val="32"/>
        </w:rPr>
        <w:t>。</w:t>
      </w:r>
    </w:p>
    <w:p w14:paraId="78F8F68C">
      <w:pPr>
        <w:keepNext w:val="0"/>
        <w:keepLines w:val="0"/>
        <w:pageBreakBefore w:val="0"/>
        <w:widowControl/>
        <w:numPr>
          <w:ilvl w:val="0"/>
          <w:numId w:val="0"/>
        </w:numPr>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en-US" w:eastAsia="zh-CN" w:bidi="ar-SA"/>
        </w:rPr>
        <w:t xml:space="preserve">第二十七条 </w:t>
      </w:r>
      <w:r>
        <w:rPr>
          <w:rFonts w:hint="eastAsia" w:ascii="仿宋_GB2312" w:hAnsi="仿宋_GB2312" w:eastAsia="仿宋_GB2312" w:cs="仿宋_GB2312"/>
          <w:color w:val="auto"/>
          <w:kern w:val="0"/>
          <w:sz w:val="32"/>
          <w:szCs w:val="32"/>
          <w:lang w:val="en-US" w:eastAsia="zh-CN"/>
        </w:rPr>
        <w:t>归口管理</w:t>
      </w:r>
      <w:r>
        <w:rPr>
          <w:rFonts w:hint="eastAsia" w:ascii="仿宋_GB2312" w:hAnsi="仿宋_GB2312" w:eastAsia="仿宋_GB2312" w:cs="仿宋_GB2312"/>
          <w:color w:val="auto"/>
          <w:kern w:val="0"/>
          <w:sz w:val="32"/>
          <w:szCs w:val="32"/>
        </w:rPr>
        <w:t>部门对</w:t>
      </w:r>
      <w:r>
        <w:rPr>
          <w:rFonts w:hint="eastAsia" w:ascii="仿宋_GB2312" w:hAnsi="仿宋_GB2312" w:eastAsia="仿宋_GB2312" w:cs="仿宋_GB2312"/>
          <w:color w:val="auto"/>
          <w:kern w:val="0"/>
          <w:sz w:val="32"/>
          <w:szCs w:val="32"/>
          <w:lang w:val="en-US" w:eastAsia="zh-CN"/>
        </w:rPr>
        <w:t>本辖区内</w:t>
      </w:r>
      <w:r>
        <w:rPr>
          <w:rFonts w:hint="eastAsia" w:ascii="仿宋_GB2312" w:hAnsi="仿宋_GB2312" w:eastAsia="仿宋_GB2312" w:cs="仿宋_GB2312"/>
          <w:color w:val="auto"/>
          <w:kern w:val="0"/>
          <w:sz w:val="32"/>
          <w:szCs w:val="32"/>
        </w:rPr>
        <w:t>技术</w:t>
      </w:r>
      <w:r>
        <w:rPr>
          <w:rFonts w:hint="eastAsia" w:ascii="仿宋_GB2312" w:hAnsi="仿宋_GB2312" w:eastAsia="仿宋_GB2312" w:cs="仿宋_GB2312"/>
          <w:color w:val="auto"/>
          <w:kern w:val="0"/>
          <w:sz w:val="32"/>
          <w:szCs w:val="32"/>
          <w:lang w:val="en-US" w:eastAsia="zh-CN"/>
        </w:rPr>
        <w:t>创新</w:t>
      </w:r>
      <w:r>
        <w:rPr>
          <w:rFonts w:hint="eastAsia" w:ascii="仿宋_GB2312" w:hAnsi="仿宋_GB2312" w:eastAsia="仿宋_GB2312" w:cs="仿宋_GB2312"/>
          <w:color w:val="auto"/>
          <w:kern w:val="0"/>
          <w:sz w:val="32"/>
          <w:szCs w:val="32"/>
        </w:rPr>
        <w:t>中心上报的评</w:t>
      </w:r>
      <w:r>
        <w:rPr>
          <w:rFonts w:hint="eastAsia" w:ascii="仿宋_GB2312" w:hAnsi="仿宋_GB2312" w:eastAsia="仿宋_GB2312" w:cs="仿宋_GB2312"/>
          <w:color w:val="auto"/>
          <w:kern w:val="0"/>
          <w:sz w:val="32"/>
          <w:szCs w:val="32"/>
          <w:lang w:val="en-US" w:eastAsia="zh-CN"/>
        </w:rPr>
        <w:t>估</w:t>
      </w:r>
      <w:r>
        <w:rPr>
          <w:rFonts w:hint="eastAsia" w:ascii="仿宋_GB2312" w:hAnsi="仿宋_GB2312" w:eastAsia="仿宋_GB2312" w:cs="仿宋_GB2312"/>
          <w:color w:val="auto"/>
          <w:kern w:val="0"/>
          <w:sz w:val="32"/>
          <w:szCs w:val="32"/>
        </w:rPr>
        <w:t>材料及附件完整性、真实性进行审查，按照评</w:t>
      </w:r>
      <w:r>
        <w:rPr>
          <w:rFonts w:hint="eastAsia" w:ascii="仿宋_GB2312" w:hAnsi="仿宋_GB2312" w:eastAsia="仿宋_GB2312" w:cs="仿宋_GB2312"/>
          <w:color w:val="auto"/>
          <w:kern w:val="0"/>
          <w:sz w:val="32"/>
          <w:szCs w:val="32"/>
          <w:lang w:val="en-US" w:eastAsia="zh-CN"/>
        </w:rPr>
        <w:t>估</w:t>
      </w:r>
      <w:r>
        <w:rPr>
          <w:rFonts w:hint="eastAsia" w:ascii="仿宋_GB2312" w:hAnsi="仿宋_GB2312" w:eastAsia="仿宋_GB2312" w:cs="仿宋_GB2312"/>
          <w:color w:val="auto"/>
          <w:kern w:val="0"/>
          <w:sz w:val="32"/>
          <w:szCs w:val="32"/>
        </w:rPr>
        <w:t>工作通知要求报市</w:t>
      </w:r>
      <w:r>
        <w:rPr>
          <w:rFonts w:hint="eastAsia" w:ascii="仿宋_GB2312" w:hAnsi="仿宋_GB2312" w:eastAsia="仿宋_GB2312" w:cs="仿宋_GB2312"/>
          <w:color w:val="auto"/>
          <w:kern w:val="0"/>
          <w:sz w:val="32"/>
          <w:szCs w:val="32"/>
          <w:lang w:val="en-US" w:eastAsia="zh-CN"/>
        </w:rPr>
        <w:t>科技局</w:t>
      </w:r>
      <w:r>
        <w:rPr>
          <w:rFonts w:hint="eastAsia" w:ascii="仿宋_GB2312" w:hAnsi="仿宋_GB2312" w:eastAsia="仿宋_GB2312" w:cs="仿宋_GB2312"/>
          <w:color w:val="auto"/>
          <w:kern w:val="0"/>
          <w:sz w:val="32"/>
          <w:szCs w:val="32"/>
        </w:rPr>
        <w:t>。评</w:t>
      </w:r>
      <w:r>
        <w:rPr>
          <w:rFonts w:hint="eastAsia" w:ascii="仿宋_GB2312" w:hAnsi="仿宋_GB2312" w:eastAsia="仿宋_GB2312" w:cs="仿宋_GB2312"/>
          <w:color w:val="auto"/>
          <w:kern w:val="0"/>
          <w:sz w:val="32"/>
          <w:szCs w:val="32"/>
          <w:lang w:val="en-US" w:eastAsia="zh-CN"/>
        </w:rPr>
        <w:t>估</w:t>
      </w:r>
      <w:r>
        <w:rPr>
          <w:rFonts w:hint="eastAsia" w:ascii="仿宋_GB2312" w:hAnsi="仿宋_GB2312" w:eastAsia="仿宋_GB2312" w:cs="仿宋_GB2312"/>
          <w:color w:val="auto"/>
          <w:kern w:val="0"/>
          <w:sz w:val="32"/>
          <w:szCs w:val="32"/>
        </w:rPr>
        <w:t>材料主要包括技术</w:t>
      </w:r>
      <w:r>
        <w:rPr>
          <w:rFonts w:hint="eastAsia" w:ascii="仿宋_GB2312" w:hAnsi="仿宋_GB2312" w:eastAsia="仿宋_GB2312" w:cs="仿宋_GB2312"/>
          <w:color w:val="auto"/>
          <w:kern w:val="0"/>
          <w:sz w:val="32"/>
          <w:szCs w:val="32"/>
          <w:lang w:val="en-US" w:eastAsia="zh-CN"/>
        </w:rPr>
        <w:t>创新</w:t>
      </w:r>
      <w:r>
        <w:rPr>
          <w:rFonts w:hint="eastAsia" w:ascii="仿宋_GB2312" w:hAnsi="仿宋_GB2312" w:eastAsia="仿宋_GB2312" w:cs="仿宋_GB2312"/>
          <w:color w:val="auto"/>
          <w:kern w:val="0"/>
          <w:sz w:val="32"/>
          <w:szCs w:val="32"/>
        </w:rPr>
        <w:t>中心评</w:t>
      </w:r>
      <w:r>
        <w:rPr>
          <w:rFonts w:hint="eastAsia" w:ascii="仿宋_GB2312" w:hAnsi="仿宋_GB2312" w:eastAsia="仿宋_GB2312" w:cs="仿宋_GB2312"/>
          <w:color w:val="auto"/>
          <w:kern w:val="0"/>
          <w:sz w:val="32"/>
          <w:szCs w:val="32"/>
          <w:lang w:val="en-US" w:eastAsia="zh-CN"/>
        </w:rPr>
        <w:t>估</w:t>
      </w:r>
      <w:r>
        <w:rPr>
          <w:rFonts w:hint="eastAsia" w:ascii="仿宋_GB2312" w:hAnsi="仿宋_GB2312" w:eastAsia="仿宋_GB2312" w:cs="仿宋_GB2312"/>
          <w:color w:val="auto"/>
          <w:kern w:val="0"/>
          <w:sz w:val="32"/>
          <w:szCs w:val="32"/>
        </w:rPr>
        <w:t>情况表及必要的证明材料。</w:t>
      </w:r>
    </w:p>
    <w:p w14:paraId="5F3B054F">
      <w:pPr>
        <w:keepNext w:val="0"/>
        <w:keepLines w:val="0"/>
        <w:pageBreakBefore w:val="0"/>
        <w:widowControl/>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第二十</w:t>
      </w:r>
      <w:r>
        <w:rPr>
          <w:rFonts w:hint="eastAsia" w:ascii="仿宋_GB2312" w:hAnsi="仿宋_GB2312" w:eastAsia="仿宋_GB2312" w:cs="仿宋_GB2312"/>
          <w:b/>
          <w:bCs/>
          <w:color w:val="auto"/>
          <w:kern w:val="0"/>
          <w:sz w:val="32"/>
          <w:szCs w:val="32"/>
          <w:lang w:val="en-US" w:eastAsia="zh-CN"/>
        </w:rPr>
        <w:t>八</w:t>
      </w:r>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评</w:t>
      </w:r>
      <w:r>
        <w:rPr>
          <w:rFonts w:hint="eastAsia" w:ascii="仿宋_GB2312" w:hAnsi="仿宋_GB2312" w:eastAsia="仿宋_GB2312" w:cs="仿宋_GB2312"/>
          <w:color w:val="auto"/>
          <w:kern w:val="0"/>
          <w:sz w:val="32"/>
          <w:szCs w:val="32"/>
          <w:lang w:val="en-US" w:eastAsia="zh-CN"/>
        </w:rPr>
        <w:t>估</w:t>
      </w:r>
      <w:r>
        <w:rPr>
          <w:rFonts w:hint="eastAsia" w:ascii="仿宋_GB2312" w:hAnsi="仿宋_GB2312" w:eastAsia="仿宋_GB2312" w:cs="仿宋_GB2312"/>
          <w:color w:val="auto"/>
          <w:kern w:val="0"/>
          <w:sz w:val="32"/>
          <w:szCs w:val="32"/>
        </w:rPr>
        <w:t>结果分为优秀、合格</w:t>
      </w:r>
      <w:r>
        <w:rPr>
          <w:rFonts w:hint="eastAsia" w:ascii="仿宋_GB2312" w:hAnsi="仿宋_GB2312" w:eastAsia="仿宋_GB2312" w:cs="仿宋_GB2312"/>
          <w:color w:val="auto"/>
          <w:kern w:val="0"/>
          <w:sz w:val="32"/>
          <w:szCs w:val="32"/>
          <w:lang w:val="en-US" w:eastAsia="zh-CN"/>
        </w:rPr>
        <w:t>和</w:t>
      </w:r>
      <w:r>
        <w:rPr>
          <w:rFonts w:hint="eastAsia" w:ascii="仿宋_GB2312" w:hAnsi="仿宋_GB2312" w:eastAsia="仿宋_GB2312" w:cs="仿宋_GB2312"/>
          <w:color w:val="auto"/>
          <w:kern w:val="0"/>
          <w:sz w:val="32"/>
          <w:szCs w:val="32"/>
        </w:rPr>
        <w:t>不合格：</w:t>
      </w:r>
    </w:p>
    <w:p w14:paraId="0B24A704">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（一）评估</w:t>
      </w:r>
      <w:r>
        <w:rPr>
          <w:rFonts w:hint="eastAsia" w:ascii="仿宋_GB2312" w:hAnsi="仿宋_GB2312" w:eastAsia="仿宋_GB2312" w:cs="仿宋_GB2312"/>
          <w:color w:val="auto"/>
          <w:kern w:val="0"/>
          <w:sz w:val="32"/>
          <w:szCs w:val="32"/>
        </w:rPr>
        <w:t>得分90分</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含</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以上为优秀；</w:t>
      </w:r>
    </w:p>
    <w:p w14:paraId="07CCD2E7">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（二）评估</w:t>
      </w:r>
      <w:r>
        <w:rPr>
          <w:rFonts w:hint="eastAsia" w:ascii="仿宋_GB2312" w:hAnsi="仿宋_GB2312" w:eastAsia="仿宋_GB2312" w:cs="仿宋_GB2312"/>
          <w:color w:val="auto"/>
          <w:kern w:val="0"/>
          <w:sz w:val="32"/>
          <w:szCs w:val="32"/>
        </w:rPr>
        <w:t>得分6</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分</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含</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至90分为合格；</w:t>
      </w:r>
    </w:p>
    <w:p w14:paraId="43A8F54E">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color w:val="auto"/>
          <w:kern w:val="0"/>
          <w:sz w:val="32"/>
          <w:szCs w:val="32"/>
          <w:lang w:eastAsia="zh-CN"/>
        </w:rPr>
        <w:t>（三）评估</w:t>
      </w:r>
      <w:r>
        <w:rPr>
          <w:rFonts w:hint="eastAsia" w:ascii="仿宋_GB2312" w:hAnsi="仿宋_GB2312" w:eastAsia="仿宋_GB2312" w:cs="仿宋_GB2312"/>
          <w:color w:val="auto"/>
          <w:kern w:val="0"/>
          <w:sz w:val="32"/>
          <w:szCs w:val="32"/>
        </w:rPr>
        <w:t>得分60分以下为不合格。</w:t>
      </w:r>
    </w:p>
    <w:p w14:paraId="14B362FB">
      <w:pPr>
        <w:keepNext w:val="0"/>
        <w:keepLines w:val="0"/>
        <w:pageBreakBefore w:val="0"/>
        <w:widowControl/>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第二十</w:t>
      </w:r>
      <w:r>
        <w:rPr>
          <w:rFonts w:hint="eastAsia" w:ascii="仿宋_GB2312" w:hAnsi="仿宋_GB2312" w:eastAsia="仿宋_GB2312" w:cs="仿宋_GB2312"/>
          <w:b/>
          <w:bCs/>
          <w:kern w:val="0"/>
          <w:sz w:val="32"/>
          <w:szCs w:val="32"/>
          <w:lang w:val="en-US" w:eastAsia="zh-CN"/>
        </w:rPr>
        <w:t>九</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对考核结果为优秀等级的</w:t>
      </w:r>
      <w:r>
        <w:rPr>
          <w:rFonts w:hint="eastAsia" w:ascii="仿宋_GB2312" w:hAnsi="仿宋_GB2312" w:eastAsia="仿宋_GB2312" w:cs="仿宋_GB2312"/>
          <w:bCs/>
          <w:sz w:val="32"/>
          <w:szCs w:val="32"/>
        </w:rPr>
        <w:t>技术创新中心</w:t>
      </w:r>
      <w:r>
        <w:rPr>
          <w:rFonts w:hint="eastAsia" w:ascii="仿宋_GB2312" w:hAnsi="仿宋_GB2312" w:eastAsia="仿宋_GB2312" w:cs="仿宋_GB2312"/>
          <w:kern w:val="0"/>
          <w:sz w:val="32"/>
          <w:szCs w:val="32"/>
        </w:rPr>
        <w:t>优先支持其承担市级科技项目，优先推荐申报省</w:t>
      </w:r>
      <w:r>
        <w:rPr>
          <w:rFonts w:hint="eastAsia" w:ascii="仿宋_GB2312" w:hAnsi="仿宋_GB2312" w:eastAsia="仿宋_GB2312" w:cs="仿宋_GB2312"/>
          <w:kern w:val="0"/>
          <w:sz w:val="32"/>
          <w:szCs w:val="32"/>
          <w:lang w:val="en-US" w:eastAsia="zh-CN"/>
        </w:rPr>
        <w:t>级及以上</w:t>
      </w:r>
      <w:r>
        <w:rPr>
          <w:rFonts w:hint="eastAsia" w:ascii="仿宋_GB2312" w:hAnsi="仿宋_GB2312" w:eastAsia="仿宋_GB2312" w:cs="仿宋_GB2312"/>
          <w:kern w:val="0"/>
          <w:sz w:val="32"/>
          <w:szCs w:val="32"/>
        </w:rPr>
        <w:t>科技项目，优先推荐</w:t>
      </w:r>
      <w:r>
        <w:rPr>
          <w:rFonts w:hint="eastAsia" w:ascii="仿宋_GB2312" w:hAnsi="仿宋_GB2312" w:eastAsia="仿宋_GB2312" w:cs="仿宋_GB2312"/>
          <w:kern w:val="0"/>
          <w:sz w:val="32"/>
          <w:szCs w:val="32"/>
          <w:lang w:eastAsia="zh-CN"/>
        </w:rPr>
        <w:t>申报</w:t>
      </w:r>
      <w:r>
        <w:rPr>
          <w:rFonts w:hint="eastAsia" w:ascii="仿宋_GB2312" w:hAnsi="仿宋_GB2312" w:eastAsia="仿宋_GB2312" w:cs="仿宋_GB2312"/>
          <w:kern w:val="0"/>
          <w:sz w:val="32"/>
          <w:szCs w:val="32"/>
        </w:rPr>
        <w:t>省</w:t>
      </w:r>
      <w:r>
        <w:rPr>
          <w:rFonts w:hint="eastAsia" w:ascii="仿宋_GB2312" w:hAnsi="仿宋_GB2312" w:eastAsia="仿宋_GB2312" w:cs="仿宋_GB2312"/>
          <w:kern w:val="0"/>
          <w:sz w:val="32"/>
          <w:szCs w:val="32"/>
          <w:lang w:val="en-US" w:eastAsia="zh-CN"/>
        </w:rPr>
        <w:t>级及以上</w:t>
      </w:r>
      <w:r>
        <w:rPr>
          <w:rFonts w:hint="eastAsia" w:ascii="仿宋_GB2312" w:hAnsi="仿宋_GB2312" w:eastAsia="仿宋_GB2312" w:cs="仿宋_GB2312"/>
          <w:kern w:val="0"/>
          <w:sz w:val="32"/>
          <w:szCs w:val="32"/>
        </w:rPr>
        <w:t>重点实验室、技术创新中心等</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支持归口管理部门对平台给予奖励性后补助</w:t>
      </w:r>
      <w:r>
        <w:rPr>
          <w:rFonts w:hint="eastAsia" w:ascii="仿宋_GB2312" w:hAnsi="仿宋_GB2312" w:eastAsia="仿宋_GB2312" w:cs="仿宋_GB2312"/>
          <w:kern w:val="0"/>
          <w:sz w:val="32"/>
          <w:szCs w:val="32"/>
        </w:rPr>
        <w:t>。</w:t>
      </w:r>
    </w:p>
    <w:p w14:paraId="40E8E15F">
      <w:pPr>
        <w:keepNext w:val="0"/>
        <w:keepLines w:val="0"/>
        <w:pageBreakBefore w:val="0"/>
        <w:widowControl/>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Cs/>
          <w:sz w:val="32"/>
          <w:szCs w:val="32"/>
        </w:rPr>
        <w:t>有下列情况之一的，撤销技术创新中心资格：</w:t>
      </w:r>
    </w:p>
    <w:p w14:paraId="411ACE1B">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绩效评估</w:t>
      </w:r>
      <w:r>
        <w:rPr>
          <w:rFonts w:hint="eastAsia" w:ascii="仿宋_GB2312" w:hAnsi="仿宋_GB2312" w:eastAsia="仿宋_GB2312" w:cs="仿宋_GB2312"/>
          <w:sz w:val="32"/>
          <w:szCs w:val="32"/>
        </w:rPr>
        <w:t>不合格的；</w:t>
      </w:r>
    </w:p>
    <w:p w14:paraId="3C61BE6C">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（二）不参加</w:t>
      </w:r>
      <w:r>
        <w:rPr>
          <w:rFonts w:hint="eastAsia" w:ascii="仿宋_GB2312" w:hAnsi="仿宋_GB2312" w:eastAsia="仿宋_GB2312" w:cs="仿宋_GB2312"/>
          <w:sz w:val="32"/>
          <w:szCs w:val="32"/>
          <w:lang w:val="en-US" w:eastAsia="zh-CN"/>
        </w:rPr>
        <w:t>绩效评估</w:t>
      </w:r>
      <w:r>
        <w:rPr>
          <w:rFonts w:hint="eastAsia" w:ascii="仿宋_GB2312" w:hAnsi="仿宋_GB2312" w:eastAsia="仿宋_GB2312" w:cs="仿宋_GB2312"/>
          <w:sz w:val="32"/>
          <w:szCs w:val="32"/>
        </w:rPr>
        <w:t>的；</w:t>
      </w:r>
    </w:p>
    <w:p w14:paraId="0CD2FC32">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（三）严重弄虚作假，提供虚假材料和不真实数据的；</w:t>
      </w:r>
    </w:p>
    <w:p w14:paraId="0C036D8C">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）由于技术原因发生重大质量、安全、环境事故的。</w:t>
      </w:r>
    </w:p>
    <w:p w14:paraId="478BDF6E">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）出现违法或科研失信问题，造成不良影响的。</w:t>
      </w:r>
    </w:p>
    <w:p w14:paraId="30067BF4">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）依托单位停产、破产，不能保障技术创新中心正常运行的。</w:t>
      </w:r>
    </w:p>
    <w:p w14:paraId="1356C784">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）依托单位被重组、收购更名，其主营业务发生变化，不再承担技术创新中心建设和运行任务的。</w:t>
      </w:r>
    </w:p>
    <w:p w14:paraId="7E1E09A9">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）依托单位自愿提出撤销技术创新中心的。</w:t>
      </w:r>
    </w:p>
    <w:p w14:paraId="750B2F4E">
      <w:pPr>
        <w:keepNext w:val="0"/>
        <w:keepLines w:val="0"/>
        <w:pageBreakBefore w:val="0"/>
        <w:widowControl/>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auto"/>
          <w:kern w:val="0"/>
          <w:sz w:val="32"/>
          <w:szCs w:val="32"/>
        </w:rPr>
        <w:t>第三十</w:t>
      </w:r>
      <w:r>
        <w:rPr>
          <w:rFonts w:hint="eastAsia" w:ascii="仿宋_GB2312" w:hAnsi="仿宋_GB2312" w:eastAsia="仿宋_GB2312" w:cs="仿宋_GB2312"/>
          <w:b/>
          <w:bCs/>
          <w:color w:val="auto"/>
          <w:kern w:val="0"/>
          <w:sz w:val="32"/>
          <w:szCs w:val="32"/>
          <w:lang w:val="en-US" w:eastAsia="zh-CN"/>
        </w:rPr>
        <w:t>一</w:t>
      </w:r>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kern w:val="0"/>
          <w:sz w:val="32"/>
          <w:szCs w:val="32"/>
        </w:rPr>
        <w:t>技术创新中心因依托单位名称变更、注册地变化或发生其他重大事项等需变更有关信息的，应提出书面申请并提供佐证材料，经归口管理部门审核后报</w:t>
      </w:r>
      <w:r>
        <w:rPr>
          <w:rFonts w:hint="eastAsia" w:ascii="仿宋_GB2312" w:hAnsi="仿宋_GB2312" w:eastAsia="仿宋_GB2312" w:cs="仿宋_GB2312"/>
          <w:kern w:val="0"/>
          <w:sz w:val="32"/>
          <w:szCs w:val="32"/>
          <w:lang w:val="en-US" w:eastAsia="zh-CN"/>
        </w:rPr>
        <w:t>市科技局</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市科技局</w:t>
      </w:r>
      <w:r>
        <w:rPr>
          <w:rFonts w:hint="eastAsia" w:ascii="仿宋_GB2312" w:hAnsi="仿宋_GB2312" w:eastAsia="仿宋_GB2312" w:cs="仿宋_GB2312"/>
          <w:kern w:val="0"/>
          <w:sz w:val="32"/>
          <w:szCs w:val="32"/>
        </w:rPr>
        <w:t>审核同意后，予以变更。</w:t>
      </w:r>
    </w:p>
    <w:p w14:paraId="3920CA2E">
      <w:pPr>
        <w:keepNext w:val="0"/>
        <w:keepLines w:val="0"/>
        <w:pageBreakBefore w:val="0"/>
        <w:widowControl/>
        <w:kinsoku/>
        <w:wordWrap/>
        <w:overflowPunct/>
        <w:topLinePunct w:val="0"/>
        <w:autoSpaceDE/>
        <w:autoSpaceDN/>
        <w:bidi w:val="0"/>
        <w:adjustRightInd/>
        <w:snapToGrid/>
        <w:spacing w:before="0" w:beforeLines="100" w:line="560" w:lineRule="exact"/>
        <w:jc w:val="center"/>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w:t>
      </w:r>
      <w:r>
        <w:rPr>
          <w:rFonts w:hint="eastAsia" w:ascii="黑体" w:hAnsi="黑体" w:eastAsia="黑体" w:cs="黑体"/>
          <w:b w:val="0"/>
          <w:bCs w:val="0"/>
          <w:kern w:val="0"/>
          <w:sz w:val="32"/>
          <w:szCs w:val="32"/>
          <w:lang w:val="en-US" w:eastAsia="zh-CN"/>
        </w:rPr>
        <w:t>六</w:t>
      </w:r>
      <w:r>
        <w:rPr>
          <w:rFonts w:hint="eastAsia" w:ascii="黑体" w:hAnsi="黑体" w:eastAsia="黑体" w:cs="黑体"/>
          <w:b w:val="0"/>
          <w:bCs w:val="0"/>
          <w:kern w:val="0"/>
          <w:sz w:val="32"/>
          <w:szCs w:val="32"/>
        </w:rPr>
        <w:t>章</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附</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则</w:t>
      </w:r>
    </w:p>
    <w:p w14:paraId="078C9D77">
      <w:pPr>
        <w:keepNext w:val="0"/>
        <w:keepLines w:val="0"/>
        <w:pageBreakBefore w:val="0"/>
        <w:widowControl/>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三十二</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本办法</w:t>
      </w:r>
      <w:r>
        <w:rPr>
          <w:rFonts w:hint="eastAsia" w:ascii="仿宋_GB2312" w:hAnsi="仿宋_GB2312" w:eastAsia="仿宋_GB2312" w:cs="仿宋_GB2312"/>
          <w:kern w:val="0"/>
          <w:sz w:val="32"/>
          <w:szCs w:val="32"/>
          <w:lang w:val="en-US" w:eastAsia="zh-CN"/>
        </w:rPr>
        <w:t>由市科技局解释，自2025年10月31日起施行，有效期五年。《沧州市技术创新中心建设与管理办法》（沧科字〔2018〕100号）同时废止</w:t>
      </w:r>
      <w:r>
        <w:rPr>
          <w:rFonts w:hint="eastAsia" w:ascii="仿宋_GB2312" w:hAnsi="仿宋_GB2312" w:eastAsia="仿宋_GB2312" w:cs="仿宋_GB2312"/>
          <w:kern w:val="0"/>
          <w:sz w:val="32"/>
          <w:szCs w:val="32"/>
          <w:lang w:eastAsia="zh-CN"/>
        </w:rPr>
        <w:t>。</w:t>
      </w:r>
    </w:p>
    <w:p w14:paraId="7E989075">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p>
    <w:p w14:paraId="051BA56A">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附件：沧州市技术创新中心绩效评估指标体系</w:t>
      </w:r>
    </w:p>
    <w:p w14:paraId="1F2164C8">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br w:type="page"/>
      </w:r>
    </w:p>
    <w:p w14:paraId="3A6A9C34">
      <w:pPr>
        <w:spacing w:before="98" w:line="224" w:lineRule="auto"/>
        <w:ind w:left="89"/>
        <w:rPr>
          <w:rFonts w:ascii="黑体" w:hAnsi="黑体" w:eastAsia="黑体" w:cs="黑体"/>
          <w:sz w:val="30"/>
          <w:szCs w:val="30"/>
        </w:rPr>
      </w:pPr>
      <w:r>
        <w:rPr>
          <w:rFonts w:ascii="黑体" w:hAnsi="黑体" w:eastAsia="黑体" w:cs="黑体"/>
          <w:b/>
          <w:bCs/>
          <w:spacing w:val="4"/>
          <w:sz w:val="30"/>
          <w:szCs w:val="30"/>
        </w:rPr>
        <w:t>附件</w:t>
      </w:r>
    </w:p>
    <w:p w14:paraId="78D8DA75">
      <w:pPr>
        <w:keepNext w:val="0"/>
        <w:keepLines w:val="0"/>
        <w:pageBreakBefore w:val="0"/>
        <w:widowControl w:val="0"/>
        <w:kinsoku/>
        <w:wordWrap/>
        <w:overflowPunct/>
        <w:topLinePunct w:val="0"/>
        <w:autoSpaceDE/>
        <w:autoSpaceDN/>
        <w:bidi w:val="0"/>
        <w:adjustRightInd/>
        <w:snapToGrid/>
        <w:spacing w:before="0" w:beforeLines="100" w:line="219" w:lineRule="auto"/>
        <w:jc w:val="center"/>
        <w:textAlignment w:val="auto"/>
        <w:rPr>
          <w:rFonts w:hint="eastAsia" w:ascii="方正小标宋_GBK" w:hAnsi="方正小标宋_GBK" w:eastAsia="方正小标宋_GBK" w:cs="方正小标宋_GBK"/>
          <w:sz w:val="42"/>
          <w:szCs w:val="42"/>
        </w:rPr>
      </w:pPr>
      <w:r>
        <w:rPr>
          <w:rFonts w:hint="eastAsia" w:ascii="方正小标宋_GBK" w:hAnsi="方正小标宋_GBK" w:eastAsia="方正小标宋_GBK" w:cs="方正小标宋_GBK"/>
          <w:b/>
          <w:bCs/>
          <w:spacing w:val="1"/>
          <w:sz w:val="42"/>
          <w:szCs w:val="42"/>
          <w:lang w:val="en-US" w:eastAsia="zh-CN"/>
        </w:rPr>
        <w:t>沧州市</w:t>
      </w:r>
      <w:r>
        <w:rPr>
          <w:rFonts w:hint="eastAsia" w:ascii="方正小标宋_GBK" w:hAnsi="方正小标宋_GBK" w:eastAsia="方正小标宋_GBK" w:cs="方正小标宋_GBK"/>
          <w:b/>
          <w:bCs/>
          <w:spacing w:val="1"/>
          <w:sz w:val="42"/>
          <w:szCs w:val="42"/>
        </w:rPr>
        <w:t>技术创新中心</w:t>
      </w:r>
      <w:r>
        <w:rPr>
          <w:rFonts w:hint="eastAsia" w:ascii="方正小标宋_GBK" w:hAnsi="方正小标宋_GBK" w:eastAsia="方正小标宋_GBK" w:cs="方正小标宋_GBK"/>
          <w:b/>
          <w:bCs/>
          <w:spacing w:val="1"/>
          <w:sz w:val="42"/>
          <w:szCs w:val="42"/>
          <w:lang w:val="en-US" w:eastAsia="zh-CN"/>
        </w:rPr>
        <w:t>绩效</w:t>
      </w:r>
      <w:r>
        <w:rPr>
          <w:rFonts w:hint="eastAsia" w:ascii="方正小标宋_GBK" w:hAnsi="方正小标宋_GBK" w:eastAsia="方正小标宋_GBK" w:cs="方正小标宋_GBK"/>
          <w:b/>
          <w:bCs/>
          <w:spacing w:val="1"/>
          <w:sz w:val="42"/>
          <w:szCs w:val="42"/>
        </w:rPr>
        <w:t>评估指标体系</w:t>
      </w:r>
    </w:p>
    <w:p w14:paraId="2D0B3A0A">
      <w:pPr>
        <w:spacing w:before="129"/>
        <w:rPr>
          <w:rFonts w:ascii="Calibri" w:hAnsi="Calibri" w:eastAsia="宋体" w:cs="Times New Roman"/>
          <w:szCs w:val="22"/>
        </w:rPr>
      </w:pPr>
    </w:p>
    <w:tbl>
      <w:tblPr>
        <w:tblStyle w:val="6"/>
        <w:tblW w:w="93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4"/>
        <w:gridCol w:w="1120"/>
        <w:gridCol w:w="6285"/>
        <w:gridCol w:w="765"/>
      </w:tblGrid>
      <w:tr w14:paraId="5BBFC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134" w:type="dxa"/>
            <w:vAlign w:val="top"/>
          </w:tcPr>
          <w:p w14:paraId="709BD472">
            <w:pPr>
              <w:widowControl w:val="0"/>
              <w:spacing w:before="161" w:line="220" w:lineRule="auto"/>
              <w:ind w:left="138"/>
              <w:jc w:val="both"/>
              <w:rPr>
                <w:rFonts w:hint="eastAsia" w:ascii="黑体" w:hAnsi="黑体" w:eastAsia="黑体" w:cs="黑体"/>
                <w:kern w:val="2"/>
                <w:sz w:val="21"/>
                <w:szCs w:val="21"/>
                <w:lang w:val="en-US" w:eastAsia="en-US" w:bidi="ar-SA"/>
              </w:rPr>
            </w:pPr>
            <w:r>
              <w:rPr>
                <w:rFonts w:hint="eastAsia" w:ascii="黑体" w:hAnsi="黑体" w:eastAsia="黑体" w:cs="黑体"/>
                <w:b/>
                <w:bCs/>
                <w:spacing w:val="-6"/>
                <w:kern w:val="2"/>
                <w:sz w:val="21"/>
                <w:szCs w:val="21"/>
                <w:lang w:val="en-US" w:eastAsia="en-US" w:bidi="ar-SA"/>
              </w:rPr>
              <w:t>一级指标</w:t>
            </w:r>
          </w:p>
        </w:tc>
        <w:tc>
          <w:tcPr>
            <w:tcW w:w="1120" w:type="dxa"/>
            <w:vAlign w:val="top"/>
          </w:tcPr>
          <w:p w14:paraId="2D06B410">
            <w:pPr>
              <w:widowControl w:val="0"/>
              <w:spacing w:before="161" w:line="220" w:lineRule="auto"/>
              <w:ind w:left="183"/>
              <w:jc w:val="both"/>
              <w:rPr>
                <w:rFonts w:hint="eastAsia" w:ascii="黑体" w:hAnsi="黑体" w:eastAsia="黑体" w:cs="黑体"/>
                <w:kern w:val="2"/>
                <w:sz w:val="21"/>
                <w:szCs w:val="21"/>
                <w:lang w:val="en-US" w:eastAsia="en-US" w:bidi="ar-SA"/>
              </w:rPr>
            </w:pPr>
            <w:r>
              <w:rPr>
                <w:rFonts w:hint="eastAsia" w:ascii="黑体" w:hAnsi="黑体" w:eastAsia="黑体" w:cs="黑体"/>
                <w:b/>
                <w:bCs/>
                <w:spacing w:val="-5"/>
                <w:kern w:val="2"/>
                <w:sz w:val="21"/>
                <w:szCs w:val="21"/>
                <w:lang w:val="en-US" w:eastAsia="en-US" w:bidi="ar-SA"/>
              </w:rPr>
              <w:t>二级指标</w:t>
            </w:r>
          </w:p>
        </w:tc>
        <w:tc>
          <w:tcPr>
            <w:tcW w:w="6285" w:type="dxa"/>
            <w:vAlign w:val="top"/>
          </w:tcPr>
          <w:p w14:paraId="6EA52D9C">
            <w:pPr>
              <w:widowControl w:val="0"/>
              <w:spacing w:before="158" w:line="218" w:lineRule="auto"/>
              <w:ind w:left="2366"/>
              <w:jc w:val="both"/>
              <w:rPr>
                <w:rFonts w:hint="eastAsia" w:ascii="黑体" w:hAnsi="黑体" w:eastAsia="黑体" w:cs="黑体"/>
                <w:kern w:val="2"/>
                <w:sz w:val="21"/>
                <w:szCs w:val="21"/>
                <w:lang w:val="en-US" w:eastAsia="en-US" w:bidi="ar-SA"/>
              </w:rPr>
            </w:pPr>
            <w:r>
              <w:rPr>
                <w:rFonts w:hint="eastAsia" w:ascii="黑体" w:hAnsi="黑体" w:eastAsia="黑体" w:cs="黑体"/>
                <w:b/>
                <w:bCs/>
                <w:kern w:val="2"/>
                <w:sz w:val="21"/>
                <w:szCs w:val="21"/>
                <w:lang w:val="en-US" w:eastAsia="en-US" w:bidi="ar-SA"/>
              </w:rPr>
              <w:t>评估要点</w:t>
            </w:r>
          </w:p>
        </w:tc>
        <w:tc>
          <w:tcPr>
            <w:tcW w:w="765" w:type="dxa"/>
            <w:vAlign w:val="top"/>
          </w:tcPr>
          <w:p w14:paraId="076D78B7">
            <w:pPr>
              <w:widowControl w:val="0"/>
              <w:spacing w:before="160" w:line="219" w:lineRule="auto"/>
              <w:ind w:left="212"/>
              <w:jc w:val="both"/>
              <w:rPr>
                <w:rFonts w:hint="eastAsia" w:ascii="黑体" w:hAnsi="黑体" w:eastAsia="黑体" w:cs="黑体"/>
                <w:kern w:val="2"/>
                <w:sz w:val="21"/>
                <w:szCs w:val="21"/>
                <w:lang w:val="en-US" w:eastAsia="en-US" w:bidi="ar-SA"/>
              </w:rPr>
            </w:pPr>
            <w:r>
              <w:rPr>
                <w:rFonts w:hint="eastAsia" w:ascii="黑体" w:hAnsi="黑体" w:eastAsia="黑体" w:cs="黑体"/>
                <w:b/>
                <w:bCs/>
                <w:spacing w:val="-5"/>
                <w:kern w:val="2"/>
                <w:sz w:val="21"/>
                <w:szCs w:val="21"/>
                <w:lang w:val="en-US" w:eastAsia="en-US" w:bidi="ar-SA"/>
              </w:rPr>
              <w:t>权重</w:t>
            </w:r>
          </w:p>
        </w:tc>
      </w:tr>
      <w:tr w14:paraId="45D53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jc w:val="center"/>
        </w:trPr>
        <w:tc>
          <w:tcPr>
            <w:tcW w:w="1134" w:type="dxa"/>
            <w:vMerge w:val="restart"/>
            <w:tcBorders>
              <w:bottom w:val="nil"/>
            </w:tcBorders>
            <w:vAlign w:val="top"/>
          </w:tcPr>
          <w:p w14:paraId="3407A911">
            <w:pPr>
              <w:spacing w:line="267" w:lineRule="auto"/>
              <w:rPr>
                <w:rFonts w:hint="eastAsia" w:ascii="仿宋_GB2312" w:hAnsi="仿宋_GB2312" w:eastAsia="仿宋_GB2312" w:cs="仿宋_GB2312"/>
                <w:sz w:val="21"/>
                <w:szCs w:val="22"/>
              </w:rPr>
            </w:pPr>
          </w:p>
          <w:p w14:paraId="21EE1CBA">
            <w:pPr>
              <w:spacing w:line="267" w:lineRule="auto"/>
              <w:rPr>
                <w:rFonts w:hint="eastAsia" w:ascii="仿宋_GB2312" w:hAnsi="仿宋_GB2312" w:eastAsia="仿宋_GB2312" w:cs="仿宋_GB2312"/>
                <w:sz w:val="21"/>
                <w:szCs w:val="22"/>
              </w:rPr>
            </w:pPr>
          </w:p>
          <w:p w14:paraId="00521552">
            <w:pPr>
              <w:widowControl w:val="0"/>
              <w:spacing w:before="68" w:line="219" w:lineRule="auto"/>
              <w:ind w:left="138"/>
              <w:jc w:val="both"/>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b/>
                <w:bCs/>
                <w:spacing w:val="-5"/>
                <w:kern w:val="2"/>
                <w:sz w:val="21"/>
                <w:szCs w:val="21"/>
                <w:lang w:val="en-US" w:eastAsia="en-US" w:bidi="ar-SA"/>
              </w:rPr>
              <w:t>组织管理</w:t>
            </w:r>
          </w:p>
          <w:p w14:paraId="1F3A06A7">
            <w:pPr>
              <w:widowControl w:val="0"/>
              <w:spacing w:before="57" w:line="222" w:lineRule="auto"/>
              <w:ind w:left="295"/>
              <w:jc w:val="both"/>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8"/>
                <w:kern w:val="2"/>
                <w:sz w:val="21"/>
                <w:szCs w:val="21"/>
                <w:lang w:val="en-US" w:eastAsia="en-US" w:bidi="ar-SA"/>
              </w:rPr>
              <w:t>(10%)</w:t>
            </w:r>
          </w:p>
        </w:tc>
        <w:tc>
          <w:tcPr>
            <w:tcW w:w="1120" w:type="dxa"/>
            <w:vAlign w:val="center"/>
          </w:tcPr>
          <w:p w14:paraId="5DF4A984">
            <w:pPr>
              <w:keepNext w:val="0"/>
              <w:keepLines w:val="0"/>
              <w:pageBreakBefore w:val="0"/>
              <w:widowControl w:val="0"/>
              <w:kinsoku/>
              <w:wordWrap/>
              <w:overflowPunct/>
              <w:topLinePunct w:val="0"/>
              <w:autoSpaceDE/>
              <w:autoSpaceDN/>
              <w:bidi w:val="0"/>
              <w:adjustRightInd/>
              <w:snapToGrid/>
              <w:spacing w:line="244" w:lineRule="auto"/>
              <w:ind w:left="0" w:right="0" w:firstLine="0"/>
              <w:jc w:val="center"/>
              <w:textAlignment w:val="auto"/>
              <w:rPr>
                <w:rFonts w:hint="eastAsia" w:ascii="仿宋_GB2312" w:hAnsi="仿宋_GB2312" w:eastAsia="仿宋_GB2312" w:cs="仿宋_GB2312"/>
                <w:sz w:val="21"/>
                <w:szCs w:val="22"/>
              </w:rPr>
            </w:pPr>
          </w:p>
          <w:p w14:paraId="2226EA1B">
            <w:pPr>
              <w:keepNext w:val="0"/>
              <w:keepLines w:val="0"/>
              <w:pageBreakBefore w:val="0"/>
              <w:widowControl w:val="0"/>
              <w:kinsoku/>
              <w:wordWrap/>
              <w:overflowPunct/>
              <w:topLinePunct w:val="0"/>
              <w:autoSpaceDE/>
              <w:autoSpaceDN/>
              <w:bidi w:val="0"/>
              <w:adjustRightInd/>
              <w:snapToGrid/>
              <w:spacing w:before="68" w:line="221" w:lineRule="auto"/>
              <w:ind w:left="0" w:right="0" w:firstLine="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4"/>
                <w:kern w:val="2"/>
                <w:sz w:val="21"/>
                <w:szCs w:val="21"/>
                <w:lang w:val="en-US" w:eastAsia="en-US" w:bidi="ar-SA"/>
              </w:rPr>
              <w:t>组织体系</w:t>
            </w:r>
          </w:p>
        </w:tc>
        <w:tc>
          <w:tcPr>
            <w:tcW w:w="6285" w:type="dxa"/>
            <w:vAlign w:val="center"/>
          </w:tcPr>
          <w:p w14:paraId="19495B7F">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3"/>
                <w:kern w:val="2"/>
                <w:sz w:val="21"/>
                <w:szCs w:val="21"/>
                <w:lang w:val="en-US" w:eastAsia="en-US" w:bidi="ar-SA"/>
              </w:rPr>
              <w:t>1.中心管理委员会和技术指导委员会组成人员范围、层次和作</w:t>
            </w:r>
            <w:r>
              <w:rPr>
                <w:rFonts w:hint="eastAsia" w:ascii="仿宋_GB2312" w:hAnsi="仿宋_GB2312" w:eastAsia="仿宋_GB2312" w:cs="仿宋_GB2312"/>
                <w:kern w:val="2"/>
                <w:sz w:val="21"/>
                <w:szCs w:val="21"/>
                <w:lang w:val="en-US" w:eastAsia="en-US" w:bidi="ar-SA"/>
              </w:rPr>
              <w:t>用的有效发挥。</w:t>
            </w:r>
          </w:p>
          <w:p w14:paraId="71CB1055">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2.中心内设机构、研究内容对研究方向的支撑作用。</w:t>
            </w:r>
          </w:p>
          <w:p w14:paraId="7F5256E7">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3.中心管理人员组织管理职责明确。</w:t>
            </w:r>
          </w:p>
        </w:tc>
        <w:tc>
          <w:tcPr>
            <w:tcW w:w="765" w:type="dxa"/>
            <w:vAlign w:val="top"/>
          </w:tcPr>
          <w:p w14:paraId="52F343EC">
            <w:pPr>
              <w:spacing w:line="253" w:lineRule="auto"/>
              <w:rPr>
                <w:rFonts w:hint="eastAsia" w:ascii="仿宋_GB2312" w:hAnsi="仿宋_GB2312" w:eastAsia="仿宋_GB2312" w:cs="仿宋_GB2312"/>
                <w:sz w:val="21"/>
                <w:szCs w:val="22"/>
              </w:rPr>
            </w:pPr>
          </w:p>
          <w:p w14:paraId="3D5D6791">
            <w:pPr>
              <w:spacing w:line="254" w:lineRule="auto"/>
              <w:rPr>
                <w:rFonts w:hint="eastAsia" w:ascii="仿宋_GB2312" w:hAnsi="仿宋_GB2312" w:eastAsia="仿宋_GB2312" w:cs="仿宋_GB2312"/>
                <w:sz w:val="21"/>
                <w:szCs w:val="22"/>
              </w:rPr>
            </w:pPr>
          </w:p>
          <w:p w14:paraId="2BB463A5">
            <w:pPr>
              <w:widowControl w:val="0"/>
              <w:spacing w:before="68"/>
              <w:ind w:left="319"/>
              <w:jc w:val="both"/>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4"/>
                <w:kern w:val="2"/>
                <w:sz w:val="21"/>
                <w:szCs w:val="21"/>
                <w:lang w:val="en-US" w:eastAsia="en-US" w:bidi="ar-SA"/>
              </w:rPr>
              <w:t>5%</w:t>
            </w:r>
          </w:p>
        </w:tc>
      </w:tr>
      <w:tr w14:paraId="3FEFF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134" w:type="dxa"/>
            <w:vMerge w:val="continue"/>
            <w:tcBorders>
              <w:top w:val="nil"/>
            </w:tcBorders>
            <w:vAlign w:val="top"/>
          </w:tcPr>
          <w:p w14:paraId="7514067C">
            <w:pPr>
              <w:rPr>
                <w:rFonts w:hint="eastAsia" w:ascii="仿宋_GB2312" w:hAnsi="仿宋_GB2312" w:eastAsia="仿宋_GB2312" w:cs="仿宋_GB2312"/>
                <w:sz w:val="21"/>
                <w:szCs w:val="22"/>
              </w:rPr>
            </w:pPr>
          </w:p>
        </w:tc>
        <w:tc>
          <w:tcPr>
            <w:tcW w:w="1120" w:type="dxa"/>
            <w:vAlign w:val="center"/>
          </w:tcPr>
          <w:p w14:paraId="5ACEEC14">
            <w:pPr>
              <w:keepNext w:val="0"/>
              <w:keepLines w:val="0"/>
              <w:pageBreakBefore w:val="0"/>
              <w:widowControl w:val="0"/>
              <w:kinsoku/>
              <w:wordWrap/>
              <w:overflowPunct/>
              <w:topLinePunct w:val="0"/>
              <w:autoSpaceDE/>
              <w:autoSpaceDN/>
              <w:bidi w:val="0"/>
              <w:adjustRightInd/>
              <w:snapToGrid/>
              <w:spacing w:before="89" w:line="219" w:lineRule="auto"/>
              <w:ind w:left="0" w:right="0" w:firstLine="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3"/>
                <w:kern w:val="2"/>
                <w:sz w:val="21"/>
                <w:szCs w:val="21"/>
                <w:lang w:val="en-US" w:eastAsia="en-US" w:bidi="ar-SA"/>
              </w:rPr>
              <w:t>管理制度</w:t>
            </w:r>
          </w:p>
        </w:tc>
        <w:tc>
          <w:tcPr>
            <w:tcW w:w="6285" w:type="dxa"/>
            <w:vAlign w:val="center"/>
          </w:tcPr>
          <w:p w14:paraId="5556A005">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规章制度健全，落实到位；管理与运行的创新发展情况。</w:t>
            </w:r>
          </w:p>
        </w:tc>
        <w:tc>
          <w:tcPr>
            <w:tcW w:w="765" w:type="dxa"/>
            <w:vAlign w:val="top"/>
          </w:tcPr>
          <w:p w14:paraId="21944134">
            <w:pPr>
              <w:widowControl w:val="0"/>
              <w:spacing w:before="110" w:line="237" w:lineRule="auto"/>
              <w:ind w:left="319"/>
              <w:jc w:val="both"/>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4"/>
                <w:kern w:val="2"/>
                <w:sz w:val="21"/>
                <w:szCs w:val="21"/>
                <w:lang w:val="en-US" w:eastAsia="en-US" w:bidi="ar-SA"/>
              </w:rPr>
              <w:t>5%</w:t>
            </w:r>
          </w:p>
        </w:tc>
      </w:tr>
      <w:tr w14:paraId="79525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jc w:val="center"/>
        </w:trPr>
        <w:tc>
          <w:tcPr>
            <w:tcW w:w="1134" w:type="dxa"/>
            <w:vMerge w:val="restart"/>
            <w:tcBorders>
              <w:bottom w:val="nil"/>
            </w:tcBorders>
            <w:vAlign w:val="top"/>
          </w:tcPr>
          <w:p w14:paraId="45C1AD13">
            <w:pPr>
              <w:spacing w:line="251" w:lineRule="auto"/>
              <w:rPr>
                <w:rFonts w:hint="eastAsia" w:ascii="仿宋_GB2312" w:hAnsi="仿宋_GB2312" w:eastAsia="仿宋_GB2312" w:cs="仿宋_GB2312"/>
                <w:sz w:val="21"/>
                <w:szCs w:val="22"/>
              </w:rPr>
            </w:pPr>
          </w:p>
          <w:p w14:paraId="57590A5A">
            <w:pPr>
              <w:spacing w:line="251" w:lineRule="auto"/>
              <w:rPr>
                <w:rFonts w:hint="eastAsia" w:ascii="仿宋_GB2312" w:hAnsi="仿宋_GB2312" w:eastAsia="仿宋_GB2312" w:cs="仿宋_GB2312"/>
                <w:sz w:val="21"/>
                <w:szCs w:val="22"/>
              </w:rPr>
            </w:pPr>
          </w:p>
          <w:p w14:paraId="6F10F82D">
            <w:pPr>
              <w:spacing w:line="251" w:lineRule="auto"/>
              <w:rPr>
                <w:rFonts w:hint="eastAsia" w:ascii="仿宋_GB2312" w:hAnsi="仿宋_GB2312" w:eastAsia="仿宋_GB2312" w:cs="仿宋_GB2312"/>
                <w:sz w:val="21"/>
                <w:szCs w:val="22"/>
              </w:rPr>
            </w:pPr>
          </w:p>
          <w:p w14:paraId="570E25CC">
            <w:pPr>
              <w:spacing w:line="251" w:lineRule="auto"/>
              <w:rPr>
                <w:rFonts w:hint="eastAsia" w:ascii="仿宋_GB2312" w:hAnsi="仿宋_GB2312" w:eastAsia="仿宋_GB2312" w:cs="仿宋_GB2312"/>
                <w:sz w:val="21"/>
                <w:szCs w:val="22"/>
              </w:rPr>
            </w:pPr>
          </w:p>
          <w:p w14:paraId="5A660D14">
            <w:pPr>
              <w:spacing w:line="251" w:lineRule="auto"/>
              <w:rPr>
                <w:rFonts w:hint="eastAsia" w:ascii="仿宋_GB2312" w:hAnsi="仿宋_GB2312" w:eastAsia="仿宋_GB2312" w:cs="仿宋_GB2312"/>
                <w:sz w:val="21"/>
                <w:szCs w:val="22"/>
              </w:rPr>
            </w:pPr>
          </w:p>
          <w:p w14:paraId="6CDC0C60">
            <w:pPr>
              <w:spacing w:line="251" w:lineRule="auto"/>
              <w:rPr>
                <w:rFonts w:hint="eastAsia" w:ascii="仿宋_GB2312" w:hAnsi="仿宋_GB2312" w:eastAsia="仿宋_GB2312" w:cs="仿宋_GB2312"/>
                <w:sz w:val="21"/>
                <w:szCs w:val="22"/>
              </w:rPr>
            </w:pPr>
          </w:p>
          <w:p w14:paraId="08DFA745">
            <w:pPr>
              <w:spacing w:line="251" w:lineRule="auto"/>
              <w:rPr>
                <w:rFonts w:hint="eastAsia" w:ascii="仿宋_GB2312" w:hAnsi="仿宋_GB2312" w:eastAsia="仿宋_GB2312" w:cs="仿宋_GB2312"/>
                <w:sz w:val="21"/>
                <w:szCs w:val="22"/>
              </w:rPr>
            </w:pPr>
          </w:p>
          <w:p w14:paraId="051D09BE">
            <w:pPr>
              <w:spacing w:line="251" w:lineRule="auto"/>
              <w:rPr>
                <w:rFonts w:hint="eastAsia" w:ascii="仿宋_GB2312" w:hAnsi="仿宋_GB2312" w:eastAsia="仿宋_GB2312" w:cs="仿宋_GB2312"/>
                <w:sz w:val="21"/>
                <w:szCs w:val="22"/>
              </w:rPr>
            </w:pPr>
          </w:p>
          <w:p w14:paraId="03B3217D">
            <w:pPr>
              <w:spacing w:line="251" w:lineRule="auto"/>
              <w:rPr>
                <w:rFonts w:hint="eastAsia" w:ascii="仿宋_GB2312" w:hAnsi="仿宋_GB2312" w:eastAsia="仿宋_GB2312" w:cs="仿宋_GB2312"/>
                <w:sz w:val="21"/>
                <w:szCs w:val="22"/>
              </w:rPr>
            </w:pPr>
          </w:p>
          <w:p w14:paraId="101B7A51">
            <w:pPr>
              <w:spacing w:line="251" w:lineRule="auto"/>
              <w:rPr>
                <w:rFonts w:hint="eastAsia" w:ascii="仿宋_GB2312" w:hAnsi="仿宋_GB2312" w:eastAsia="仿宋_GB2312" w:cs="仿宋_GB2312"/>
                <w:sz w:val="21"/>
                <w:szCs w:val="22"/>
              </w:rPr>
            </w:pPr>
          </w:p>
          <w:p w14:paraId="3182FD56">
            <w:pPr>
              <w:spacing w:line="251" w:lineRule="auto"/>
              <w:rPr>
                <w:rFonts w:hint="eastAsia" w:ascii="仿宋_GB2312" w:hAnsi="仿宋_GB2312" w:eastAsia="仿宋_GB2312" w:cs="仿宋_GB2312"/>
                <w:sz w:val="21"/>
                <w:szCs w:val="22"/>
              </w:rPr>
            </w:pPr>
          </w:p>
          <w:p w14:paraId="14B33A13">
            <w:pPr>
              <w:widowControl w:val="0"/>
              <w:spacing w:before="68" w:line="219" w:lineRule="auto"/>
              <w:ind w:left="138"/>
              <w:jc w:val="both"/>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b/>
                <w:bCs/>
                <w:spacing w:val="-4"/>
                <w:kern w:val="2"/>
                <w:sz w:val="21"/>
                <w:szCs w:val="21"/>
                <w:lang w:val="en-US" w:eastAsia="en-US" w:bidi="ar-SA"/>
              </w:rPr>
              <w:t>研发条件</w:t>
            </w:r>
          </w:p>
          <w:p w14:paraId="1BB837FD">
            <w:pPr>
              <w:widowControl w:val="0"/>
              <w:spacing w:before="37" w:line="222" w:lineRule="auto"/>
              <w:ind w:left="295"/>
              <w:jc w:val="both"/>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8"/>
                <w:kern w:val="2"/>
                <w:sz w:val="21"/>
                <w:szCs w:val="21"/>
                <w:lang w:val="en-US" w:eastAsia="en-US" w:bidi="ar-SA"/>
              </w:rPr>
              <w:t>(20%)</w:t>
            </w:r>
          </w:p>
        </w:tc>
        <w:tc>
          <w:tcPr>
            <w:tcW w:w="1120" w:type="dxa"/>
            <w:vAlign w:val="center"/>
          </w:tcPr>
          <w:p w14:paraId="217845E1">
            <w:pPr>
              <w:keepNext w:val="0"/>
              <w:keepLines w:val="0"/>
              <w:pageBreakBefore w:val="0"/>
              <w:widowControl w:val="0"/>
              <w:kinsoku/>
              <w:wordWrap/>
              <w:overflowPunct/>
              <w:topLinePunct w:val="0"/>
              <w:autoSpaceDE/>
              <w:autoSpaceDN/>
              <w:bidi w:val="0"/>
              <w:adjustRightInd/>
              <w:snapToGrid/>
              <w:spacing w:before="68" w:line="219" w:lineRule="auto"/>
              <w:ind w:left="0" w:right="0" w:firstLine="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2"/>
                <w:kern w:val="2"/>
                <w:sz w:val="21"/>
                <w:szCs w:val="21"/>
                <w:lang w:val="en-US" w:eastAsia="en-US" w:bidi="ar-SA"/>
              </w:rPr>
              <w:t>经费筹集</w:t>
            </w:r>
          </w:p>
        </w:tc>
        <w:tc>
          <w:tcPr>
            <w:tcW w:w="6285" w:type="dxa"/>
            <w:vAlign w:val="center"/>
          </w:tcPr>
          <w:p w14:paraId="18B532AE">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1.经费筹集总额、年均及趋势。</w:t>
            </w:r>
          </w:p>
          <w:p w14:paraId="53758BC9">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2.依托单位对中心支持情况，其投入及占总销售收入比例。</w:t>
            </w:r>
          </w:p>
          <w:p w14:paraId="1440FFA4">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3.政府投资</w:t>
            </w:r>
            <w:r>
              <w:rPr>
                <w:rFonts w:hint="eastAsia" w:ascii="仿宋_GB2312" w:hAnsi="仿宋_GB2312" w:eastAsia="仿宋_GB2312" w:cs="仿宋_GB2312"/>
                <w:kern w:val="2"/>
                <w:sz w:val="21"/>
                <w:szCs w:val="21"/>
                <w:lang w:val="en-US" w:eastAsia="zh-CN" w:bidi="ar-SA"/>
              </w:rPr>
              <w:t>（</w:t>
            </w:r>
            <w:r>
              <w:rPr>
                <w:rFonts w:hint="eastAsia" w:ascii="仿宋_GB2312" w:hAnsi="仿宋_GB2312" w:eastAsia="仿宋_GB2312" w:cs="仿宋_GB2312"/>
                <w:kern w:val="2"/>
                <w:sz w:val="21"/>
                <w:szCs w:val="21"/>
                <w:lang w:val="en-US" w:eastAsia="en-US" w:bidi="ar-SA"/>
              </w:rPr>
              <w:t>各类政府计划项目和专项支持</w:t>
            </w:r>
            <w:r>
              <w:rPr>
                <w:rFonts w:hint="eastAsia" w:ascii="仿宋_GB2312" w:hAnsi="仿宋_GB2312" w:eastAsia="仿宋_GB2312" w:cs="仿宋_GB2312"/>
                <w:kern w:val="2"/>
                <w:sz w:val="21"/>
                <w:szCs w:val="21"/>
                <w:lang w:val="en-US" w:eastAsia="zh-CN" w:bidi="ar-SA"/>
              </w:rPr>
              <w:t>）</w:t>
            </w:r>
            <w:r>
              <w:rPr>
                <w:rFonts w:hint="eastAsia" w:ascii="仿宋_GB2312" w:hAnsi="仿宋_GB2312" w:eastAsia="仿宋_GB2312" w:cs="仿宋_GB2312"/>
                <w:kern w:val="2"/>
                <w:sz w:val="21"/>
                <w:szCs w:val="21"/>
                <w:lang w:val="en-US" w:eastAsia="en-US" w:bidi="ar-SA"/>
              </w:rPr>
              <w:t>。</w:t>
            </w:r>
          </w:p>
          <w:p w14:paraId="162662BA">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4.共建单位投入。</w:t>
            </w:r>
          </w:p>
          <w:p w14:paraId="6761C316">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5.对外服务经营收入。</w:t>
            </w:r>
          </w:p>
        </w:tc>
        <w:tc>
          <w:tcPr>
            <w:tcW w:w="765" w:type="dxa"/>
            <w:vAlign w:val="top"/>
          </w:tcPr>
          <w:p w14:paraId="06ECB1BB">
            <w:pPr>
              <w:spacing w:line="333" w:lineRule="auto"/>
              <w:rPr>
                <w:rFonts w:hint="eastAsia" w:ascii="仿宋_GB2312" w:hAnsi="仿宋_GB2312" w:eastAsia="仿宋_GB2312" w:cs="仿宋_GB2312"/>
                <w:sz w:val="21"/>
                <w:szCs w:val="22"/>
              </w:rPr>
            </w:pPr>
          </w:p>
          <w:p w14:paraId="311563D0">
            <w:pPr>
              <w:spacing w:line="334" w:lineRule="auto"/>
              <w:rPr>
                <w:rFonts w:hint="eastAsia" w:ascii="仿宋_GB2312" w:hAnsi="仿宋_GB2312" w:eastAsia="仿宋_GB2312" w:cs="仿宋_GB2312"/>
                <w:sz w:val="21"/>
                <w:szCs w:val="22"/>
              </w:rPr>
            </w:pPr>
          </w:p>
          <w:p w14:paraId="77B0940D">
            <w:pPr>
              <w:widowControl w:val="0"/>
              <w:spacing w:before="68"/>
              <w:ind w:left="319"/>
              <w:jc w:val="both"/>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3"/>
                <w:kern w:val="2"/>
                <w:sz w:val="21"/>
                <w:szCs w:val="21"/>
                <w:lang w:val="en-US" w:eastAsia="en-US" w:bidi="ar-SA"/>
              </w:rPr>
              <w:t>6%</w:t>
            </w:r>
          </w:p>
        </w:tc>
      </w:tr>
      <w:tr w14:paraId="279B8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1134" w:type="dxa"/>
            <w:vMerge w:val="continue"/>
            <w:tcBorders>
              <w:top w:val="nil"/>
              <w:bottom w:val="nil"/>
            </w:tcBorders>
            <w:vAlign w:val="top"/>
          </w:tcPr>
          <w:p w14:paraId="3263FAB0">
            <w:pPr>
              <w:rPr>
                <w:rFonts w:hint="eastAsia" w:ascii="仿宋_GB2312" w:hAnsi="仿宋_GB2312" w:eastAsia="仿宋_GB2312" w:cs="仿宋_GB2312"/>
                <w:sz w:val="21"/>
                <w:szCs w:val="22"/>
              </w:rPr>
            </w:pPr>
          </w:p>
        </w:tc>
        <w:tc>
          <w:tcPr>
            <w:tcW w:w="1120" w:type="dxa"/>
            <w:vAlign w:val="center"/>
          </w:tcPr>
          <w:p w14:paraId="2B031972">
            <w:pPr>
              <w:keepNext w:val="0"/>
              <w:keepLines w:val="0"/>
              <w:pageBreakBefore w:val="0"/>
              <w:widowControl w:val="0"/>
              <w:kinsoku/>
              <w:wordWrap/>
              <w:overflowPunct/>
              <w:topLinePunct w:val="0"/>
              <w:autoSpaceDE/>
              <w:autoSpaceDN/>
              <w:bidi w:val="0"/>
              <w:adjustRightInd/>
              <w:snapToGrid/>
              <w:spacing w:before="80" w:line="250" w:lineRule="auto"/>
              <w:ind w:left="0" w:right="0" w:firstLine="0"/>
              <w:jc w:val="center"/>
              <w:textAlignment w:val="auto"/>
              <w:rPr>
                <w:rFonts w:hint="eastAsia" w:ascii="仿宋_GB2312" w:hAnsi="仿宋_GB2312" w:eastAsia="仿宋_GB2312" w:cs="仿宋_GB2312"/>
                <w:spacing w:val="5"/>
                <w:kern w:val="2"/>
                <w:sz w:val="21"/>
                <w:szCs w:val="21"/>
                <w:lang w:val="en-US" w:eastAsia="en-US" w:bidi="ar-SA"/>
              </w:rPr>
            </w:pPr>
            <w:r>
              <w:rPr>
                <w:rFonts w:hint="eastAsia" w:ascii="仿宋_GB2312" w:hAnsi="仿宋_GB2312" w:eastAsia="仿宋_GB2312" w:cs="仿宋_GB2312"/>
                <w:spacing w:val="5"/>
                <w:kern w:val="2"/>
                <w:sz w:val="21"/>
                <w:szCs w:val="21"/>
                <w:lang w:val="en-US" w:eastAsia="en-US" w:bidi="ar-SA"/>
              </w:rPr>
              <w:t>科研办公</w:t>
            </w:r>
          </w:p>
          <w:p w14:paraId="6010DC48">
            <w:pPr>
              <w:keepNext w:val="0"/>
              <w:keepLines w:val="0"/>
              <w:pageBreakBefore w:val="0"/>
              <w:widowControl w:val="0"/>
              <w:kinsoku/>
              <w:wordWrap/>
              <w:overflowPunct/>
              <w:topLinePunct w:val="0"/>
              <w:autoSpaceDE/>
              <w:autoSpaceDN/>
              <w:bidi w:val="0"/>
              <w:adjustRightInd/>
              <w:snapToGrid/>
              <w:spacing w:before="80" w:line="250" w:lineRule="auto"/>
              <w:ind w:left="0" w:right="0" w:firstLine="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5"/>
                <w:kern w:val="2"/>
                <w:sz w:val="21"/>
                <w:szCs w:val="21"/>
                <w:lang w:val="en-US" w:eastAsia="en-US" w:bidi="ar-SA"/>
              </w:rPr>
              <w:t>用</w:t>
            </w:r>
            <w:r>
              <w:rPr>
                <w:rFonts w:hint="eastAsia" w:ascii="仿宋_GB2312" w:hAnsi="仿宋_GB2312" w:eastAsia="仿宋_GB2312" w:cs="仿宋_GB2312"/>
                <w:kern w:val="2"/>
                <w:sz w:val="21"/>
                <w:szCs w:val="21"/>
                <w:lang w:val="en-US" w:eastAsia="en-US" w:bidi="ar-SA"/>
              </w:rPr>
              <w:t>房</w:t>
            </w:r>
          </w:p>
        </w:tc>
        <w:tc>
          <w:tcPr>
            <w:tcW w:w="6285" w:type="dxa"/>
            <w:vAlign w:val="center"/>
          </w:tcPr>
          <w:p w14:paraId="73827B8E">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11"/>
                <w:kern w:val="2"/>
                <w:sz w:val="21"/>
                <w:szCs w:val="21"/>
                <w:lang w:val="en-US" w:eastAsia="en-US" w:bidi="ar-SA"/>
              </w:rPr>
              <w:t>不断改善和提升，充分满足中心研发、办公、技术交流等需要。</w:t>
            </w:r>
          </w:p>
        </w:tc>
        <w:tc>
          <w:tcPr>
            <w:tcW w:w="765" w:type="dxa"/>
            <w:vAlign w:val="top"/>
          </w:tcPr>
          <w:p w14:paraId="31BA96FD">
            <w:pPr>
              <w:widowControl w:val="0"/>
              <w:spacing w:before="252"/>
              <w:ind w:left="319"/>
              <w:jc w:val="both"/>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4"/>
                <w:kern w:val="2"/>
                <w:sz w:val="21"/>
                <w:szCs w:val="21"/>
                <w:lang w:val="en-US" w:eastAsia="en-US" w:bidi="ar-SA"/>
              </w:rPr>
              <w:t>3%</w:t>
            </w:r>
          </w:p>
        </w:tc>
      </w:tr>
      <w:tr w14:paraId="30297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jc w:val="center"/>
        </w:trPr>
        <w:tc>
          <w:tcPr>
            <w:tcW w:w="1134" w:type="dxa"/>
            <w:vMerge w:val="continue"/>
            <w:tcBorders>
              <w:top w:val="nil"/>
              <w:bottom w:val="nil"/>
            </w:tcBorders>
            <w:vAlign w:val="top"/>
          </w:tcPr>
          <w:p w14:paraId="75232CB0">
            <w:pPr>
              <w:rPr>
                <w:rFonts w:hint="eastAsia" w:ascii="仿宋_GB2312" w:hAnsi="仿宋_GB2312" w:eastAsia="仿宋_GB2312" w:cs="仿宋_GB2312"/>
                <w:sz w:val="21"/>
                <w:szCs w:val="22"/>
              </w:rPr>
            </w:pPr>
          </w:p>
        </w:tc>
        <w:tc>
          <w:tcPr>
            <w:tcW w:w="1120" w:type="dxa"/>
            <w:vAlign w:val="center"/>
          </w:tcPr>
          <w:p w14:paraId="028BBB3B">
            <w:pPr>
              <w:keepNext w:val="0"/>
              <w:keepLines w:val="0"/>
              <w:pageBreakBefore w:val="0"/>
              <w:widowControl w:val="0"/>
              <w:kinsoku/>
              <w:wordWrap/>
              <w:overflowPunct/>
              <w:topLinePunct w:val="0"/>
              <w:autoSpaceDE/>
              <w:autoSpaceDN/>
              <w:bidi w:val="0"/>
              <w:adjustRightInd/>
              <w:snapToGrid/>
              <w:spacing w:before="68" w:line="219" w:lineRule="auto"/>
              <w:ind w:left="0" w:right="0" w:firstLine="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2"/>
                <w:kern w:val="2"/>
                <w:sz w:val="21"/>
                <w:szCs w:val="21"/>
                <w:lang w:val="en-US" w:eastAsia="en-US" w:bidi="ar-SA"/>
              </w:rPr>
              <w:t>仪器设备</w:t>
            </w:r>
          </w:p>
        </w:tc>
        <w:tc>
          <w:tcPr>
            <w:tcW w:w="6285" w:type="dxa"/>
            <w:vAlign w:val="center"/>
          </w:tcPr>
          <w:p w14:paraId="1A2A4366">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1.新增仪器设备、软件、中试生产线设备的数量及先进性。</w:t>
            </w:r>
          </w:p>
          <w:p w14:paraId="76D7B481">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2.现有仪器设备的总数量及原值总值。</w:t>
            </w:r>
          </w:p>
          <w:p w14:paraId="7A75E997">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3.仪器设备的维护和管理及完好率和使用率。</w:t>
            </w:r>
          </w:p>
        </w:tc>
        <w:tc>
          <w:tcPr>
            <w:tcW w:w="765" w:type="dxa"/>
            <w:vAlign w:val="top"/>
          </w:tcPr>
          <w:p w14:paraId="4EA2211D">
            <w:pPr>
              <w:spacing w:line="372" w:lineRule="auto"/>
              <w:rPr>
                <w:rFonts w:hint="eastAsia" w:ascii="仿宋_GB2312" w:hAnsi="仿宋_GB2312" w:eastAsia="仿宋_GB2312" w:cs="仿宋_GB2312"/>
                <w:sz w:val="21"/>
                <w:szCs w:val="22"/>
              </w:rPr>
            </w:pPr>
          </w:p>
          <w:p w14:paraId="1666B6B0">
            <w:pPr>
              <w:widowControl w:val="0"/>
              <w:spacing w:before="68"/>
              <w:ind w:left="319"/>
              <w:jc w:val="both"/>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4"/>
                <w:kern w:val="2"/>
                <w:sz w:val="21"/>
                <w:szCs w:val="21"/>
                <w:lang w:val="en-US" w:eastAsia="en-US" w:bidi="ar-SA"/>
              </w:rPr>
              <w:t>5%</w:t>
            </w:r>
          </w:p>
        </w:tc>
      </w:tr>
      <w:tr w14:paraId="70B78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5" w:hRule="atLeast"/>
          <w:jc w:val="center"/>
        </w:trPr>
        <w:tc>
          <w:tcPr>
            <w:tcW w:w="1134" w:type="dxa"/>
            <w:vMerge w:val="continue"/>
            <w:tcBorders>
              <w:top w:val="nil"/>
            </w:tcBorders>
            <w:vAlign w:val="top"/>
          </w:tcPr>
          <w:p w14:paraId="380F1E6F">
            <w:pPr>
              <w:rPr>
                <w:rFonts w:hint="eastAsia" w:ascii="仿宋_GB2312" w:hAnsi="仿宋_GB2312" w:eastAsia="仿宋_GB2312" w:cs="仿宋_GB2312"/>
                <w:sz w:val="21"/>
                <w:szCs w:val="22"/>
              </w:rPr>
            </w:pPr>
          </w:p>
        </w:tc>
        <w:tc>
          <w:tcPr>
            <w:tcW w:w="1120" w:type="dxa"/>
            <w:vAlign w:val="center"/>
          </w:tcPr>
          <w:p w14:paraId="4D8F47D4">
            <w:pPr>
              <w:keepNext w:val="0"/>
              <w:keepLines w:val="0"/>
              <w:pageBreakBefore w:val="0"/>
              <w:widowControl w:val="0"/>
              <w:kinsoku/>
              <w:wordWrap/>
              <w:overflowPunct/>
              <w:topLinePunct w:val="0"/>
              <w:autoSpaceDE/>
              <w:autoSpaceDN/>
              <w:bidi w:val="0"/>
              <w:adjustRightInd/>
              <w:snapToGrid/>
              <w:spacing w:before="68" w:line="220" w:lineRule="auto"/>
              <w:ind w:left="0" w:right="0" w:firstLine="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2"/>
                <w:kern w:val="2"/>
                <w:sz w:val="21"/>
                <w:szCs w:val="21"/>
                <w:lang w:val="en-US" w:eastAsia="en-US" w:bidi="ar-SA"/>
              </w:rPr>
              <w:t>队伍建设</w:t>
            </w:r>
          </w:p>
        </w:tc>
        <w:tc>
          <w:tcPr>
            <w:tcW w:w="6285" w:type="dxa"/>
            <w:vAlign w:val="center"/>
          </w:tcPr>
          <w:p w14:paraId="655EA7E9">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3"/>
                <w:kern w:val="2"/>
                <w:sz w:val="21"/>
                <w:szCs w:val="21"/>
                <w:lang w:val="en-US" w:eastAsia="en-US" w:bidi="ar-SA"/>
              </w:rPr>
              <w:t>1.固定人员和流动人员：固定人员的结构和</w:t>
            </w:r>
            <w:r>
              <w:rPr>
                <w:rFonts w:hint="eastAsia" w:ascii="仿宋_GB2312" w:hAnsi="仿宋_GB2312" w:eastAsia="仿宋_GB2312" w:cs="仿宋_GB2312"/>
                <w:spacing w:val="-4"/>
                <w:kern w:val="2"/>
                <w:sz w:val="21"/>
                <w:szCs w:val="21"/>
                <w:lang w:val="en-US" w:eastAsia="en-US" w:bidi="ar-SA"/>
              </w:rPr>
              <w:t>流动人员的作用，</w:t>
            </w:r>
            <w:r>
              <w:rPr>
                <w:rFonts w:hint="eastAsia" w:ascii="仿宋_GB2312" w:hAnsi="仿宋_GB2312" w:eastAsia="仿宋_GB2312" w:cs="仿宋_GB2312"/>
                <w:spacing w:val="-3"/>
                <w:kern w:val="2"/>
                <w:sz w:val="21"/>
                <w:szCs w:val="21"/>
                <w:lang w:val="en-US" w:eastAsia="en-US" w:bidi="ar-SA"/>
              </w:rPr>
              <w:t>人才队伍发展变化的趋势。</w:t>
            </w:r>
          </w:p>
          <w:p w14:paraId="6B997BA3">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3"/>
                <w:kern w:val="2"/>
                <w:sz w:val="21"/>
                <w:szCs w:val="21"/>
                <w:lang w:val="en-US" w:eastAsia="en-US" w:bidi="ar-SA"/>
              </w:rPr>
              <w:t>2.主要技术带头人：中心主任及各技术带头人的技术水平、影</w:t>
            </w:r>
            <w:r>
              <w:rPr>
                <w:rFonts w:hint="eastAsia" w:ascii="仿宋_GB2312" w:hAnsi="仿宋_GB2312" w:eastAsia="仿宋_GB2312" w:cs="仿宋_GB2312"/>
                <w:kern w:val="2"/>
                <w:sz w:val="21"/>
                <w:szCs w:val="21"/>
                <w:lang w:val="en-US" w:eastAsia="en-US" w:bidi="ar-SA"/>
              </w:rPr>
              <w:t>响力和作用发挥。</w:t>
            </w:r>
          </w:p>
          <w:p w14:paraId="2E644141">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3"/>
                <w:kern w:val="2"/>
                <w:sz w:val="21"/>
                <w:szCs w:val="21"/>
                <w:lang w:val="en-US" w:eastAsia="en-US" w:bidi="ar-SA"/>
              </w:rPr>
              <w:t>3.新增高层次人才和创新团队：新增高层次</w:t>
            </w:r>
            <w:r>
              <w:rPr>
                <w:rFonts w:hint="eastAsia" w:ascii="仿宋_GB2312" w:hAnsi="仿宋_GB2312" w:eastAsia="仿宋_GB2312" w:cs="仿宋_GB2312"/>
                <w:spacing w:val="-4"/>
                <w:kern w:val="2"/>
                <w:sz w:val="21"/>
                <w:szCs w:val="21"/>
                <w:lang w:val="en-US" w:eastAsia="en-US" w:bidi="ar-SA"/>
              </w:rPr>
              <w:t>人才；获得省级以</w:t>
            </w:r>
            <w:r>
              <w:rPr>
                <w:rFonts w:hint="eastAsia" w:ascii="仿宋_GB2312" w:hAnsi="仿宋_GB2312" w:eastAsia="仿宋_GB2312" w:cs="仿宋_GB2312"/>
                <w:spacing w:val="-1"/>
                <w:kern w:val="2"/>
                <w:sz w:val="21"/>
                <w:szCs w:val="21"/>
                <w:lang w:val="en-US" w:eastAsia="en-US" w:bidi="ar-SA"/>
              </w:rPr>
              <w:t>上政府部门支持的优秀创新团队。</w:t>
            </w:r>
          </w:p>
          <w:p w14:paraId="56BF1D8A">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3"/>
                <w:kern w:val="2"/>
                <w:sz w:val="21"/>
                <w:szCs w:val="21"/>
                <w:lang w:val="en-US" w:eastAsia="en-US" w:bidi="ar-SA"/>
              </w:rPr>
              <w:t>4.固定人员培养：固定人员学历、职称晋升情况和技术水平提</w:t>
            </w:r>
            <w:r>
              <w:rPr>
                <w:rFonts w:hint="eastAsia" w:ascii="仿宋_GB2312" w:hAnsi="仿宋_GB2312" w:eastAsia="仿宋_GB2312" w:cs="仿宋_GB2312"/>
                <w:kern w:val="2"/>
                <w:sz w:val="21"/>
                <w:szCs w:val="21"/>
                <w:lang w:val="en-US" w:eastAsia="en-US" w:bidi="ar-SA"/>
              </w:rPr>
              <w:t>升情况。</w:t>
            </w:r>
          </w:p>
        </w:tc>
        <w:tc>
          <w:tcPr>
            <w:tcW w:w="765" w:type="dxa"/>
            <w:vAlign w:val="top"/>
          </w:tcPr>
          <w:p w14:paraId="63C96029">
            <w:pPr>
              <w:spacing w:line="249" w:lineRule="auto"/>
              <w:rPr>
                <w:rFonts w:hint="eastAsia" w:ascii="仿宋_GB2312" w:hAnsi="仿宋_GB2312" w:eastAsia="仿宋_GB2312" w:cs="仿宋_GB2312"/>
                <w:sz w:val="21"/>
                <w:szCs w:val="22"/>
              </w:rPr>
            </w:pPr>
          </w:p>
          <w:p w14:paraId="67E81F32">
            <w:pPr>
              <w:spacing w:line="249" w:lineRule="auto"/>
              <w:rPr>
                <w:rFonts w:hint="eastAsia" w:ascii="仿宋_GB2312" w:hAnsi="仿宋_GB2312" w:eastAsia="仿宋_GB2312" w:cs="仿宋_GB2312"/>
                <w:sz w:val="21"/>
                <w:szCs w:val="22"/>
              </w:rPr>
            </w:pPr>
          </w:p>
          <w:p w14:paraId="115D4119">
            <w:pPr>
              <w:spacing w:line="250" w:lineRule="auto"/>
              <w:rPr>
                <w:rFonts w:hint="eastAsia" w:ascii="仿宋_GB2312" w:hAnsi="仿宋_GB2312" w:eastAsia="仿宋_GB2312" w:cs="仿宋_GB2312"/>
                <w:sz w:val="21"/>
                <w:szCs w:val="22"/>
              </w:rPr>
            </w:pPr>
          </w:p>
          <w:p w14:paraId="27E5514E">
            <w:pPr>
              <w:spacing w:line="250" w:lineRule="auto"/>
              <w:rPr>
                <w:rFonts w:hint="eastAsia" w:ascii="仿宋_GB2312" w:hAnsi="仿宋_GB2312" w:eastAsia="仿宋_GB2312" w:cs="仿宋_GB2312"/>
                <w:sz w:val="21"/>
                <w:szCs w:val="22"/>
              </w:rPr>
            </w:pPr>
          </w:p>
          <w:p w14:paraId="5109246A">
            <w:pPr>
              <w:spacing w:line="250" w:lineRule="auto"/>
              <w:rPr>
                <w:rFonts w:hint="eastAsia" w:ascii="仿宋_GB2312" w:hAnsi="仿宋_GB2312" w:eastAsia="仿宋_GB2312" w:cs="仿宋_GB2312"/>
                <w:sz w:val="21"/>
                <w:szCs w:val="22"/>
              </w:rPr>
            </w:pPr>
          </w:p>
          <w:p w14:paraId="40E2CE47">
            <w:pPr>
              <w:widowControl w:val="0"/>
              <w:spacing w:before="68"/>
              <w:ind w:left="319"/>
              <w:jc w:val="both"/>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3"/>
                <w:kern w:val="2"/>
                <w:sz w:val="21"/>
                <w:szCs w:val="21"/>
                <w:lang w:val="en-US" w:eastAsia="en-US" w:bidi="ar-SA"/>
              </w:rPr>
              <w:t>6%</w:t>
            </w:r>
          </w:p>
        </w:tc>
      </w:tr>
      <w:tr w14:paraId="28228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5" w:hRule="atLeast"/>
          <w:jc w:val="center"/>
        </w:trPr>
        <w:tc>
          <w:tcPr>
            <w:tcW w:w="1134" w:type="dxa"/>
            <w:vMerge w:val="restart"/>
            <w:tcBorders>
              <w:bottom w:val="nil"/>
            </w:tcBorders>
            <w:vAlign w:val="top"/>
          </w:tcPr>
          <w:p w14:paraId="5BB60E07">
            <w:pPr>
              <w:spacing w:line="276" w:lineRule="auto"/>
              <w:rPr>
                <w:rFonts w:hint="eastAsia" w:ascii="仿宋_GB2312" w:hAnsi="仿宋_GB2312" w:eastAsia="仿宋_GB2312" w:cs="仿宋_GB2312"/>
                <w:sz w:val="21"/>
                <w:szCs w:val="22"/>
              </w:rPr>
            </w:pPr>
          </w:p>
          <w:p w14:paraId="1BA9DD62">
            <w:pPr>
              <w:spacing w:line="276" w:lineRule="auto"/>
              <w:rPr>
                <w:rFonts w:hint="eastAsia" w:ascii="仿宋_GB2312" w:hAnsi="仿宋_GB2312" w:eastAsia="仿宋_GB2312" w:cs="仿宋_GB2312"/>
                <w:sz w:val="21"/>
                <w:szCs w:val="22"/>
              </w:rPr>
            </w:pPr>
          </w:p>
          <w:p w14:paraId="39D64F52">
            <w:pPr>
              <w:spacing w:line="277" w:lineRule="auto"/>
              <w:rPr>
                <w:rFonts w:hint="eastAsia" w:ascii="仿宋_GB2312" w:hAnsi="仿宋_GB2312" w:eastAsia="仿宋_GB2312" w:cs="仿宋_GB2312"/>
                <w:sz w:val="21"/>
                <w:szCs w:val="22"/>
              </w:rPr>
            </w:pPr>
          </w:p>
          <w:p w14:paraId="21EDF651">
            <w:pPr>
              <w:widowControl w:val="0"/>
              <w:spacing w:before="68" w:line="219" w:lineRule="auto"/>
              <w:ind w:left="138"/>
              <w:jc w:val="both"/>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b/>
                <w:bCs/>
                <w:spacing w:val="2"/>
                <w:kern w:val="2"/>
                <w:sz w:val="21"/>
                <w:szCs w:val="21"/>
                <w:lang w:val="en-US" w:eastAsia="en-US" w:bidi="ar-SA"/>
              </w:rPr>
              <w:t>研发产出</w:t>
            </w:r>
          </w:p>
          <w:p w14:paraId="7DFED90F">
            <w:pPr>
              <w:widowControl w:val="0"/>
              <w:spacing w:before="67" w:line="222" w:lineRule="auto"/>
              <w:ind w:left="295"/>
              <w:jc w:val="both"/>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8"/>
                <w:kern w:val="2"/>
                <w:sz w:val="21"/>
                <w:szCs w:val="21"/>
                <w:lang w:val="en-US" w:eastAsia="en-US" w:bidi="ar-SA"/>
              </w:rPr>
              <w:t>(35%)</w:t>
            </w:r>
          </w:p>
        </w:tc>
        <w:tc>
          <w:tcPr>
            <w:tcW w:w="1120" w:type="dxa"/>
            <w:vAlign w:val="center"/>
          </w:tcPr>
          <w:p w14:paraId="19DB825F">
            <w:pPr>
              <w:keepNext w:val="0"/>
              <w:keepLines w:val="0"/>
              <w:pageBreakBefore w:val="0"/>
              <w:widowControl w:val="0"/>
              <w:kinsoku/>
              <w:wordWrap/>
              <w:overflowPunct/>
              <w:topLinePunct w:val="0"/>
              <w:autoSpaceDE/>
              <w:autoSpaceDN/>
              <w:bidi w:val="0"/>
              <w:adjustRightInd/>
              <w:snapToGrid/>
              <w:spacing w:before="68" w:line="301" w:lineRule="auto"/>
              <w:ind w:left="0" w:right="0" w:firstLine="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3"/>
                <w:kern w:val="2"/>
                <w:sz w:val="21"/>
                <w:szCs w:val="21"/>
                <w:lang w:val="en-US" w:eastAsia="en-US" w:bidi="ar-SA"/>
              </w:rPr>
              <w:t>组织实施的</w:t>
            </w:r>
            <w:r>
              <w:rPr>
                <w:rFonts w:hint="eastAsia" w:ascii="仿宋_GB2312" w:hAnsi="仿宋_GB2312" w:eastAsia="仿宋_GB2312" w:cs="仿宋_GB2312"/>
                <w:spacing w:val="10"/>
                <w:kern w:val="2"/>
                <w:sz w:val="21"/>
                <w:szCs w:val="21"/>
                <w:lang w:val="en-US" w:eastAsia="en-US" w:bidi="ar-SA"/>
              </w:rPr>
              <w:t>研发项目</w:t>
            </w:r>
          </w:p>
        </w:tc>
        <w:tc>
          <w:tcPr>
            <w:tcW w:w="6285" w:type="dxa"/>
            <w:vAlign w:val="center"/>
          </w:tcPr>
          <w:p w14:paraId="52E448A5">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1.承担各级政府研发项目的能力和水平。</w:t>
            </w:r>
          </w:p>
          <w:p w14:paraId="3A51D307">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2.依托单位自主研发项目和支持力度。</w:t>
            </w:r>
          </w:p>
          <w:p w14:paraId="70A55ADB">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3.承担委托研发项目情况。</w:t>
            </w:r>
          </w:p>
          <w:p w14:paraId="2DC602F9">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4.中心固定人员与其他单位联合开展研发项目情况。</w:t>
            </w:r>
          </w:p>
          <w:p w14:paraId="20119E98">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5.中心开展引进消化吸收再创新项目情况。</w:t>
            </w:r>
          </w:p>
        </w:tc>
        <w:tc>
          <w:tcPr>
            <w:tcW w:w="765" w:type="dxa"/>
            <w:vAlign w:val="top"/>
          </w:tcPr>
          <w:p w14:paraId="53E52B06">
            <w:pPr>
              <w:spacing w:line="341" w:lineRule="auto"/>
              <w:rPr>
                <w:rFonts w:hint="eastAsia" w:ascii="仿宋_GB2312" w:hAnsi="仿宋_GB2312" w:eastAsia="仿宋_GB2312" w:cs="仿宋_GB2312"/>
                <w:sz w:val="21"/>
                <w:szCs w:val="22"/>
              </w:rPr>
            </w:pPr>
          </w:p>
          <w:p w14:paraId="707FD4A7">
            <w:pPr>
              <w:spacing w:line="342" w:lineRule="auto"/>
              <w:rPr>
                <w:rFonts w:hint="eastAsia" w:ascii="仿宋_GB2312" w:hAnsi="仿宋_GB2312" w:eastAsia="仿宋_GB2312" w:cs="仿宋_GB2312"/>
                <w:sz w:val="21"/>
                <w:szCs w:val="22"/>
              </w:rPr>
            </w:pPr>
          </w:p>
          <w:p w14:paraId="2C5021CA">
            <w:pPr>
              <w:widowControl w:val="0"/>
              <w:spacing w:before="68"/>
              <w:ind w:left="319"/>
              <w:jc w:val="both"/>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4"/>
                <w:kern w:val="2"/>
                <w:sz w:val="21"/>
                <w:szCs w:val="21"/>
                <w:lang w:val="en-US" w:eastAsia="en-US" w:bidi="ar-SA"/>
              </w:rPr>
              <w:t>7%</w:t>
            </w:r>
          </w:p>
        </w:tc>
      </w:tr>
      <w:tr w14:paraId="6D68A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1134" w:type="dxa"/>
            <w:vMerge w:val="continue"/>
            <w:tcBorders>
              <w:top w:val="nil"/>
            </w:tcBorders>
            <w:vAlign w:val="top"/>
          </w:tcPr>
          <w:p w14:paraId="5C1A6A18">
            <w:pPr>
              <w:rPr>
                <w:rFonts w:hint="eastAsia" w:ascii="仿宋_GB2312" w:hAnsi="仿宋_GB2312" w:eastAsia="仿宋_GB2312" w:cs="仿宋_GB2312"/>
                <w:sz w:val="21"/>
                <w:szCs w:val="22"/>
              </w:rPr>
            </w:pPr>
          </w:p>
        </w:tc>
        <w:tc>
          <w:tcPr>
            <w:tcW w:w="1120" w:type="dxa"/>
            <w:vAlign w:val="center"/>
          </w:tcPr>
          <w:p w14:paraId="2D6B35B5">
            <w:pPr>
              <w:keepNext w:val="0"/>
              <w:keepLines w:val="0"/>
              <w:pageBreakBefore w:val="0"/>
              <w:widowControl w:val="0"/>
              <w:kinsoku/>
              <w:wordWrap/>
              <w:overflowPunct/>
              <w:topLinePunct w:val="0"/>
              <w:autoSpaceDE/>
              <w:autoSpaceDN/>
              <w:bidi w:val="0"/>
              <w:adjustRightInd/>
              <w:snapToGrid/>
              <w:spacing w:before="98" w:line="244" w:lineRule="auto"/>
              <w:ind w:left="0" w:right="0" w:firstLine="0"/>
              <w:jc w:val="center"/>
              <w:textAlignment w:val="auto"/>
              <w:rPr>
                <w:rFonts w:hint="eastAsia" w:ascii="仿宋_GB2312" w:hAnsi="仿宋_GB2312" w:eastAsia="仿宋_GB2312" w:cs="仿宋_GB2312"/>
                <w:spacing w:val="2"/>
                <w:kern w:val="2"/>
                <w:sz w:val="21"/>
                <w:szCs w:val="21"/>
                <w:lang w:val="en-US" w:eastAsia="en-US" w:bidi="ar-SA"/>
              </w:rPr>
            </w:pPr>
            <w:r>
              <w:rPr>
                <w:rFonts w:hint="eastAsia" w:ascii="仿宋_GB2312" w:hAnsi="仿宋_GB2312" w:eastAsia="仿宋_GB2312" w:cs="仿宋_GB2312"/>
                <w:spacing w:val="2"/>
                <w:kern w:val="2"/>
                <w:sz w:val="21"/>
                <w:szCs w:val="21"/>
                <w:lang w:val="en-US" w:eastAsia="en-US" w:bidi="ar-SA"/>
              </w:rPr>
              <w:t>发表论文</w:t>
            </w:r>
          </w:p>
          <w:p w14:paraId="35D9F4AA">
            <w:pPr>
              <w:keepNext w:val="0"/>
              <w:keepLines w:val="0"/>
              <w:pageBreakBefore w:val="0"/>
              <w:widowControl w:val="0"/>
              <w:kinsoku/>
              <w:wordWrap/>
              <w:overflowPunct/>
              <w:topLinePunct w:val="0"/>
              <w:autoSpaceDE/>
              <w:autoSpaceDN/>
              <w:bidi w:val="0"/>
              <w:adjustRightInd/>
              <w:snapToGrid/>
              <w:spacing w:before="98" w:line="244" w:lineRule="auto"/>
              <w:ind w:left="0" w:right="0" w:firstLine="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2"/>
                <w:kern w:val="2"/>
                <w:sz w:val="21"/>
                <w:szCs w:val="21"/>
                <w:lang w:val="en-US" w:eastAsia="en-US" w:bidi="ar-SA"/>
              </w:rPr>
              <w:t>专</w:t>
            </w:r>
            <w:r>
              <w:rPr>
                <w:rFonts w:hint="eastAsia" w:ascii="仿宋_GB2312" w:hAnsi="仿宋_GB2312" w:eastAsia="仿宋_GB2312" w:cs="仿宋_GB2312"/>
                <w:kern w:val="2"/>
                <w:sz w:val="21"/>
                <w:szCs w:val="21"/>
                <w:lang w:val="en-US" w:eastAsia="en-US" w:bidi="ar-SA"/>
              </w:rPr>
              <w:t>著</w:t>
            </w:r>
          </w:p>
        </w:tc>
        <w:tc>
          <w:tcPr>
            <w:tcW w:w="6285" w:type="dxa"/>
            <w:vAlign w:val="center"/>
          </w:tcPr>
          <w:p w14:paraId="156635D2">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论文专著的数量和水平。</w:t>
            </w:r>
          </w:p>
        </w:tc>
        <w:tc>
          <w:tcPr>
            <w:tcW w:w="765" w:type="dxa"/>
            <w:vAlign w:val="top"/>
          </w:tcPr>
          <w:p w14:paraId="449215A7">
            <w:pPr>
              <w:widowControl w:val="0"/>
              <w:spacing w:before="258"/>
              <w:ind w:left="319"/>
              <w:jc w:val="both"/>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4"/>
                <w:kern w:val="2"/>
                <w:sz w:val="21"/>
                <w:szCs w:val="21"/>
                <w:lang w:val="en-US" w:eastAsia="en-US" w:bidi="ar-SA"/>
              </w:rPr>
              <w:t>3%</w:t>
            </w:r>
          </w:p>
        </w:tc>
      </w:tr>
    </w:tbl>
    <w:p w14:paraId="20DE3331">
      <w:pPr>
        <w:rPr>
          <w:rFonts w:ascii="Arial" w:hAnsi="Arial" w:eastAsia="Arial" w:cs="Arial"/>
          <w:sz w:val="21"/>
          <w:szCs w:val="21"/>
        </w:rPr>
        <w:sectPr>
          <w:footerReference r:id="rId3" w:type="default"/>
          <w:pgSz w:w="11906" w:h="16838"/>
          <w:pgMar w:top="1429" w:right="1701" w:bottom="1184" w:left="1701" w:header="0" w:footer="858" w:gutter="0"/>
          <w:pgNumType w:fmt="decimal" w:start="1"/>
          <w:cols w:space="720" w:num="1"/>
        </w:sectPr>
      </w:pPr>
    </w:p>
    <w:tbl>
      <w:tblPr>
        <w:tblStyle w:val="6"/>
        <w:tblpPr w:leftFromText="180" w:rightFromText="180" w:vertAnchor="text" w:horzAnchor="page" w:tblpX="1277" w:tblpY="217"/>
        <w:tblOverlap w:val="never"/>
        <w:tblW w:w="92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0"/>
        <w:gridCol w:w="1154"/>
        <w:gridCol w:w="6253"/>
        <w:gridCol w:w="825"/>
      </w:tblGrid>
      <w:tr w14:paraId="29606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050" w:type="dxa"/>
            <w:vAlign w:val="top"/>
          </w:tcPr>
          <w:p w14:paraId="37AF9310">
            <w:pPr>
              <w:widowControl w:val="0"/>
              <w:spacing w:before="161" w:line="220" w:lineRule="auto"/>
              <w:ind w:left="148"/>
              <w:jc w:val="both"/>
              <w:rPr>
                <w:rFonts w:hint="eastAsia" w:ascii="黑体" w:hAnsi="黑体" w:eastAsia="黑体" w:cs="黑体"/>
                <w:kern w:val="2"/>
                <w:sz w:val="21"/>
                <w:szCs w:val="21"/>
                <w:lang w:val="en-US" w:eastAsia="en-US" w:bidi="ar-SA"/>
              </w:rPr>
            </w:pPr>
            <w:r>
              <w:rPr>
                <w:rFonts w:hint="eastAsia" w:ascii="黑体" w:hAnsi="黑体" w:eastAsia="黑体" w:cs="黑体"/>
                <w:b/>
                <w:bCs/>
                <w:spacing w:val="-6"/>
                <w:kern w:val="2"/>
                <w:sz w:val="21"/>
                <w:szCs w:val="21"/>
                <w:lang w:val="en-US" w:eastAsia="en-US" w:bidi="ar-SA"/>
              </w:rPr>
              <w:t>一级指标</w:t>
            </w:r>
          </w:p>
        </w:tc>
        <w:tc>
          <w:tcPr>
            <w:tcW w:w="1154" w:type="dxa"/>
            <w:vAlign w:val="top"/>
          </w:tcPr>
          <w:p w14:paraId="2015C766">
            <w:pPr>
              <w:widowControl w:val="0"/>
              <w:spacing w:before="161" w:line="220" w:lineRule="auto"/>
              <w:ind w:left="184"/>
              <w:jc w:val="both"/>
              <w:rPr>
                <w:rFonts w:hint="eastAsia" w:ascii="黑体" w:hAnsi="黑体" w:eastAsia="黑体" w:cs="黑体"/>
                <w:kern w:val="2"/>
                <w:sz w:val="21"/>
                <w:szCs w:val="21"/>
                <w:lang w:val="en-US" w:eastAsia="en-US" w:bidi="ar-SA"/>
              </w:rPr>
            </w:pPr>
            <w:r>
              <w:rPr>
                <w:rFonts w:hint="eastAsia" w:ascii="黑体" w:hAnsi="黑体" w:eastAsia="黑体" w:cs="黑体"/>
                <w:b/>
                <w:bCs/>
                <w:spacing w:val="-5"/>
                <w:kern w:val="2"/>
                <w:sz w:val="21"/>
                <w:szCs w:val="21"/>
                <w:lang w:val="en-US" w:eastAsia="en-US" w:bidi="ar-SA"/>
              </w:rPr>
              <w:t>二级指标</w:t>
            </w:r>
          </w:p>
        </w:tc>
        <w:tc>
          <w:tcPr>
            <w:tcW w:w="6253" w:type="dxa"/>
            <w:vAlign w:val="top"/>
          </w:tcPr>
          <w:p w14:paraId="424D199A">
            <w:pPr>
              <w:widowControl w:val="0"/>
              <w:spacing w:before="158" w:line="218" w:lineRule="auto"/>
              <w:ind w:left="2376"/>
              <w:jc w:val="both"/>
              <w:rPr>
                <w:rFonts w:hint="eastAsia" w:ascii="黑体" w:hAnsi="黑体" w:eastAsia="黑体" w:cs="黑体"/>
                <w:kern w:val="2"/>
                <w:sz w:val="21"/>
                <w:szCs w:val="21"/>
                <w:lang w:val="en-US" w:eastAsia="en-US" w:bidi="ar-SA"/>
              </w:rPr>
            </w:pPr>
            <w:r>
              <w:rPr>
                <w:rFonts w:hint="eastAsia" w:ascii="黑体" w:hAnsi="黑体" w:eastAsia="黑体" w:cs="黑体"/>
                <w:b/>
                <w:bCs/>
                <w:kern w:val="2"/>
                <w:sz w:val="21"/>
                <w:szCs w:val="21"/>
                <w:lang w:val="en-US" w:eastAsia="en-US" w:bidi="ar-SA"/>
              </w:rPr>
              <w:t>评估要点</w:t>
            </w:r>
          </w:p>
        </w:tc>
        <w:tc>
          <w:tcPr>
            <w:tcW w:w="825" w:type="dxa"/>
            <w:vAlign w:val="top"/>
          </w:tcPr>
          <w:p w14:paraId="471CA27B">
            <w:pPr>
              <w:widowControl w:val="0"/>
              <w:spacing w:before="160" w:line="219" w:lineRule="auto"/>
              <w:ind w:left="213"/>
              <w:jc w:val="both"/>
              <w:rPr>
                <w:rFonts w:hint="eastAsia" w:ascii="黑体" w:hAnsi="黑体" w:eastAsia="黑体" w:cs="黑体"/>
                <w:kern w:val="2"/>
                <w:sz w:val="21"/>
                <w:szCs w:val="21"/>
                <w:lang w:val="en-US" w:eastAsia="en-US" w:bidi="ar-SA"/>
              </w:rPr>
            </w:pPr>
            <w:r>
              <w:rPr>
                <w:rFonts w:hint="eastAsia" w:ascii="黑体" w:hAnsi="黑体" w:eastAsia="黑体" w:cs="黑体"/>
                <w:b/>
                <w:bCs/>
                <w:spacing w:val="-5"/>
                <w:kern w:val="2"/>
                <w:sz w:val="21"/>
                <w:szCs w:val="21"/>
                <w:lang w:val="en-US" w:eastAsia="en-US" w:bidi="ar-SA"/>
              </w:rPr>
              <w:t>权重</w:t>
            </w:r>
          </w:p>
        </w:tc>
      </w:tr>
      <w:tr w14:paraId="08298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1050" w:type="dxa"/>
            <w:vMerge w:val="restart"/>
            <w:tcBorders>
              <w:bottom w:val="nil"/>
            </w:tcBorders>
            <w:vAlign w:val="top"/>
          </w:tcPr>
          <w:p w14:paraId="2F61D77B">
            <w:pPr>
              <w:rPr>
                <w:rFonts w:hint="eastAsia" w:ascii="仿宋_GB2312" w:hAnsi="仿宋_GB2312" w:eastAsia="仿宋_GB2312" w:cs="仿宋_GB2312"/>
                <w:sz w:val="21"/>
                <w:szCs w:val="22"/>
              </w:rPr>
            </w:pPr>
          </w:p>
        </w:tc>
        <w:tc>
          <w:tcPr>
            <w:tcW w:w="1154" w:type="dxa"/>
            <w:vAlign w:val="center"/>
          </w:tcPr>
          <w:p w14:paraId="05AE184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2"/>
                <w:kern w:val="2"/>
                <w:sz w:val="21"/>
                <w:szCs w:val="21"/>
                <w:lang w:val="en-US" w:eastAsia="en-US" w:bidi="ar-SA"/>
              </w:rPr>
              <w:t>专利和其他</w:t>
            </w:r>
            <w:r>
              <w:rPr>
                <w:rFonts w:hint="eastAsia" w:ascii="仿宋_GB2312" w:hAnsi="仿宋_GB2312" w:eastAsia="仿宋_GB2312" w:cs="仿宋_GB2312"/>
                <w:spacing w:val="5"/>
                <w:kern w:val="2"/>
                <w:sz w:val="21"/>
                <w:szCs w:val="21"/>
                <w:lang w:val="en-US" w:eastAsia="en-US" w:bidi="ar-SA"/>
              </w:rPr>
              <w:t>知识产权申</w:t>
            </w:r>
            <w:r>
              <w:rPr>
                <w:rFonts w:hint="eastAsia" w:ascii="仿宋_GB2312" w:hAnsi="仿宋_GB2312" w:eastAsia="仿宋_GB2312" w:cs="仿宋_GB2312"/>
                <w:spacing w:val="-2"/>
                <w:kern w:val="2"/>
                <w:sz w:val="21"/>
                <w:szCs w:val="21"/>
                <w:lang w:val="en-US" w:eastAsia="en-US" w:bidi="ar-SA"/>
              </w:rPr>
              <w:t>请和授权</w:t>
            </w:r>
          </w:p>
        </w:tc>
        <w:tc>
          <w:tcPr>
            <w:tcW w:w="6253" w:type="dxa"/>
            <w:vAlign w:val="center"/>
          </w:tcPr>
          <w:p w14:paraId="3F1F8876">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1.申请专利和其他知识产权的数量和质量</w:t>
            </w:r>
            <w:r>
              <w:rPr>
                <w:rFonts w:hint="eastAsia" w:ascii="仿宋_GB2312" w:hAnsi="仿宋_GB2312" w:eastAsia="仿宋_GB2312" w:cs="仿宋_GB2312"/>
                <w:kern w:val="2"/>
                <w:sz w:val="21"/>
                <w:szCs w:val="21"/>
                <w:lang w:val="en-US" w:eastAsia="zh-CN" w:bidi="ar-SA"/>
              </w:rPr>
              <w:t>（</w:t>
            </w:r>
            <w:r>
              <w:rPr>
                <w:rFonts w:hint="eastAsia" w:ascii="仿宋_GB2312" w:hAnsi="仿宋_GB2312" w:eastAsia="仿宋_GB2312" w:cs="仿宋_GB2312"/>
                <w:kern w:val="2"/>
                <w:sz w:val="21"/>
                <w:szCs w:val="21"/>
                <w:lang w:val="en-US" w:eastAsia="en-US" w:bidi="ar-SA"/>
              </w:rPr>
              <w:t>专利、品种权、著作权等</w:t>
            </w:r>
            <w:r>
              <w:rPr>
                <w:rFonts w:hint="eastAsia" w:ascii="仿宋_GB2312" w:hAnsi="仿宋_GB2312" w:eastAsia="仿宋_GB2312" w:cs="仿宋_GB2312"/>
                <w:kern w:val="2"/>
                <w:sz w:val="21"/>
                <w:szCs w:val="21"/>
                <w:lang w:val="en-US" w:eastAsia="zh-CN" w:bidi="ar-SA"/>
              </w:rPr>
              <w:t>）</w:t>
            </w:r>
            <w:r>
              <w:rPr>
                <w:rFonts w:hint="eastAsia" w:ascii="仿宋_GB2312" w:hAnsi="仿宋_GB2312" w:eastAsia="仿宋_GB2312" w:cs="仿宋_GB2312"/>
                <w:kern w:val="2"/>
                <w:sz w:val="21"/>
                <w:szCs w:val="21"/>
                <w:lang w:val="en-US" w:eastAsia="en-US" w:bidi="ar-SA"/>
              </w:rPr>
              <w:t>。</w:t>
            </w:r>
          </w:p>
          <w:p w14:paraId="5B84C0E4">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2.取得授权的专利和其他知识产权的数量和质量。</w:t>
            </w:r>
          </w:p>
        </w:tc>
        <w:tc>
          <w:tcPr>
            <w:tcW w:w="825" w:type="dxa"/>
            <w:vAlign w:val="center"/>
          </w:tcPr>
          <w:p w14:paraId="26F3AA93">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center"/>
              <w:textAlignment w:val="auto"/>
              <w:rPr>
                <w:rFonts w:hint="eastAsia" w:ascii="仿宋_GB2312" w:hAnsi="仿宋_GB2312" w:eastAsia="仿宋_GB2312" w:cs="仿宋_GB2312"/>
                <w:sz w:val="21"/>
                <w:szCs w:val="22"/>
              </w:rPr>
            </w:pPr>
          </w:p>
          <w:p w14:paraId="2511AB03">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4"/>
                <w:kern w:val="2"/>
                <w:sz w:val="21"/>
                <w:szCs w:val="21"/>
                <w:lang w:val="en-US" w:eastAsia="en-US" w:bidi="ar-SA"/>
              </w:rPr>
              <w:t>7%</w:t>
            </w:r>
          </w:p>
        </w:tc>
      </w:tr>
      <w:tr w14:paraId="0ABD8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1050" w:type="dxa"/>
            <w:vMerge w:val="continue"/>
            <w:tcBorders>
              <w:top w:val="nil"/>
              <w:bottom w:val="nil"/>
            </w:tcBorders>
            <w:vAlign w:val="top"/>
          </w:tcPr>
          <w:p w14:paraId="160B3BB7">
            <w:pPr>
              <w:rPr>
                <w:rFonts w:hint="eastAsia" w:ascii="仿宋_GB2312" w:hAnsi="仿宋_GB2312" w:eastAsia="仿宋_GB2312" w:cs="仿宋_GB2312"/>
                <w:sz w:val="21"/>
                <w:szCs w:val="22"/>
              </w:rPr>
            </w:pPr>
          </w:p>
        </w:tc>
        <w:tc>
          <w:tcPr>
            <w:tcW w:w="1154" w:type="dxa"/>
            <w:vAlign w:val="center"/>
          </w:tcPr>
          <w:p w14:paraId="377D97B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2"/>
                <w:kern w:val="2"/>
                <w:sz w:val="21"/>
                <w:szCs w:val="21"/>
                <w:lang w:val="en-US" w:eastAsia="en-US" w:bidi="ar-SA"/>
              </w:rPr>
              <w:t>标准、工法</w:t>
            </w:r>
          </w:p>
        </w:tc>
        <w:tc>
          <w:tcPr>
            <w:tcW w:w="6253" w:type="dxa"/>
            <w:vAlign w:val="center"/>
          </w:tcPr>
          <w:p w14:paraId="4A5E5FD9">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1.标准的数量和水平</w:t>
            </w:r>
            <w:r>
              <w:rPr>
                <w:rFonts w:hint="eastAsia" w:ascii="仿宋_GB2312" w:hAnsi="仿宋_GB2312" w:eastAsia="仿宋_GB2312" w:cs="仿宋_GB2312"/>
                <w:kern w:val="2"/>
                <w:sz w:val="21"/>
                <w:szCs w:val="21"/>
                <w:lang w:val="en-US" w:eastAsia="zh-CN" w:bidi="ar-SA"/>
              </w:rPr>
              <w:t>（</w:t>
            </w:r>
            <w:r>
              <w:rPr>
                <w:rFonts w:hint="eastAsia" w:ascii="仿宋_GB2312" w:hAnsi="仿宋_GB2312" w:eastAsia="仿宋_GB2312" w:cs="仿宋_GB2312"/>
                <w:kern w:val="2"/>
                <w:sz w:val="21"/>
                <w:szCs w:val="21"/>
                <w:lang w:val="en-US" w:eastAsia="en-US" w:bidi="ar-SA"/>
              </w:rPr>
              <w:t>主持或参与，制定或修订，国家级、行业标准、地方标准、团体标准、企业标准等</w:t>
            </w:r>
            <w:r>
              <w:rPr>
                <w:rFonts w:hint="eastAsia" w:ascii="仿宋_GB2312" w:hAnsi="仿宋_GB2312" w:eastAsia="仿宋_GB2312" w:cs="仿宋_GB2312"/>
                <w:kern w:val="2"/>
                <w:sz w:val="21"/>
                <w:szCs w:val="21"/>
                <w:lang w:val="en-US" w:eastAsia="zh-CN" w:bidi="ar-SA"/>
              </w:rPr>
              <w:t>）</w:t>
            </w:r>
            <w:r>
              <w:rPr>
                <w:rFonts w:hint="eastAsia" w:ascii="仿宋_GB2312" w:hAnsi="仿宋_GB2312" w:eastAsia="仿宋_GB2312" w:cs="仿宋_GB2312"/>
                <w:kern w:val="2"/>
                <w:sz w:val="21"/>
                <w:szCs w:val="21"/>
                <w:lang w:val="en-US" w:eastAsia="en-US" w:bidi="ar-SA"/>
              </w:rPr>
              <w:t>。</w:t>
            </w:r>
          </w:p>
          <w:p w14:paraId="4C741633">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2.工法的数量和水平</w:t>
            </w:r>
            <w:r>
              <w:rPr>
                <w:rFonts w:hint="eastAsia" w:ascii="仿宋_GB2312" w:hAnsi="仿宋_GB2312" w:eastAsia="仿宋_GB2312" w:cs="仿宋_GB2312"/>
                <w:kern w:val="2"/>
                <w:sz w:val="21"/>
                <w:szCs w:val="21"/>
                <w:lang w:val="en-US" w:eastAsia="zh-CN" w:bidi="ar-SA"/>
              </w:rPr>
              <w:t>（</w:t>
            </w:r>
            <w:r>
              <w:rPr>
                <w:rFonts w:hint="eastAsia" w:ascii="仿宋_GB2312" w:hAnsi="仿宋_GB2312" w:eastAsia="仿宋_GB2312" w:cs="仿宋_GB2312"/>
                <w:kern w:val="2"/>
                <w:sz w:val="21"/>
                <w:szCs w:val="21"/>
                <w:lang w:val="en-US" w:eastAsia="en-US" w:bidi="ar-SA"/>
              </w:rPr>
              <w:t>国家级、省部级、企业级</w:t>
            </w:r>
            <w:r>
              <w:rPr>
                <w:rFonts w:hint="eastAsia" w:ascii="仿宋_GB2312" w:hAnsi="仿宋_GB2312" w:eastAsia="仿宋_GB2312" w:cs="仿宋_GB2312"/>
                <w:kern w:val="2"/>
                <w:sz w:val="21"/>
                <w:szCs w:val="21"/>
                <w:lang w:val="en-US" w:eastAsia="zh-CN" w:bidi="ar-SA"/>
              </w:rPr>
              <w:t>）</w:t>
            </w:r>
            <w:r>
              <w:rPr>
                <w:rFonts w:hint="eastAsia" w:ascii="仿宋_GB2312" w:hAnsi="仿宋_GB2312" w:eastAsia="仿宋_GB2312" w:cs="仿宋_GB2312"/>
                <w:kern w:val="2"/>
                <w:sz w:val="21"/>
                <w:szCs w:val="21"/>
                <w:lang w:val="en-US" w:eastAsia="en-US" w:bidi="ar-SA"/>
              </w:rPr>
              <w:t>。</w:t>
            </w:r>
          </w:p>
        </w:tc>
        <w:tc>
          <w:tcPr>
            <w:tcW w:w="825" w:type="dxa"/>
            <w:vAlign w:val="center"/>
          </w:tcPr>
          <w:p w14:paraId="12FF68FA">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center"/>
              <w:textAlignment w:val="auto"/>
              <w:rPr>
                <w:rFonts w:hint="eastAsia" w:ascii="仿宋_GB2312" w:hAnsi="仿宋_GB2312" w:eastAsia="仿宋_GB2312" w:cs="仿宋_GB2312"/>
                <w:sz w:val="21"/>
                <w:szCs w:val="22"/>
              </w:rPr>
            </w:pPr>
          </w:p>
          <w:p w14:paraId="3C1F8C7B">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4"/>
                <w:kern w:val="2"/>
                <w:sz w:val="21"/>
                <w:szCs w:val="21"/>
                <w:lang w:val="en-US" w:eastAsia="en-US" w:bidi="ar-SA"/>
              </w:rPr>
              <w:t>5%</w:t>
            </w:r>
          </w:p>
        </w:tc>
      </w:tr>
      <w:tr w14:paraId="2E90B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1050" w:type="dxa"/>
            <w:vMerge w:val="continue"/>
            <w:tcBorders>
              <w:top w:val="nil"/>
              <w:bottom w:val="nil"/>
            </w:tcBorders>
            <w:vAlign w:val="top"/>
          </w:tcPr>
          <w:p w14:paraId="3E06D80E">
            <w:pPr>
              <w:rPr>
                <w:rFonts w:hint="eastAsia" w:ascii="仿宋_GB2312" w:hAnsi="仿宋_GB2312" w:eastAsia="仿宋_GB2312" w:cs="仿宋_GB2312"/>
                <w:sz w:val="21"/>
                <w:szCs w:val="22"/>
              </w:rPr>
            </w:pPr>
          </w:p>
        </w:tc>
        <w:tc>
          <w:tcPr>
            <w:tcW w:w="1154" w:type="dxa"/>
            <w:vAlign w:val="center"/>
          </w:tcPr>
          <w:p w14:paraId="68C1AE7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2"/>
                <w:kern w:val="2"/>
                <w:sz w:val="21"/>
                <w:szCs w:val="21"/>
                <w:lang w:val="en-US" w:eastAsia="en-US" w:bidi="ar-SA"/>
              </w:rPr>
              <w:t>新技术、新</w:t>
            </w:r>
            <w:r>
              <w:rPr>
                <w:rFonts w:hint="eastAsia" w:ascii="仿宋_GB2312" w:hAnsi="仿宋_GB2312" w:eastAsia="仿宋_GB2312" w:cs="仿宋_GB2312"/>
                <w:spacing w:val="2"/>
                <w:kern w:val="2"/>
                <w:sz w:val="21"/>
                <w:szCs w:val="21"/>
                <w:lang w:val="en-US" w:eastAsia="en-US" w:bidi="ar-SA"/>
              </w:rPr>
              <w:t>工艺、新产</w:t>
            </w:r>
            <w:r>
              <w:rPr>
                <w:rFonts w:hint="eastAsia" w:ascii="仿宋_GB2312" w:hAnsi="仿宋_GB2312" w:eastAsia="仿宋_GB2312" w:cs="仿宋_GB2312"/>
                <w:spacing w:val="1"/>
                <w:kern w:val="2"/>
                <w:sz w:val="21"/>
                <w:szCs w:val="21"/>
                <w:lang w:val="en-US" w:eastAsia="en-US" w:bidi="ar-SA"/>
              </w:rPr>
              <w:t>品和专有技</w:t>
            </w:r>
            <w:r>
              <w:rPr>
                <w:rFonts w:hint="eastAsia" w:ascii="仿宋_GB2312" w:hAnsi="仿宋_GB2312" w:eastAsia="仿宋_GB2312" w:cs="仿宋_GB2312"/>
                <w:kern w:val="2"/>
                <w:sz w:val="21"/>
                <w:szCs w:val="21"/>
                <w:lang w:val="en-US" w:eastAsia="en-US" w:bidi="ar-SA"/>
              </w:rPr>
              <w:t>术</w:t>
            </w:r>
          </w:p>
        </w:tc>
        <w:tc>
          <w:tcPr>
            <w:tcW w:w="6253" w:type="dxa"/>
            <w:vAlign w:val="center"/>
          </w:tcPr>
          <w:p w14:paraId="30DC45BF">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新技术、新工艺、新产品和专有技术的数量及水平。</w:t>
            </w:r>
          </w:p>
        </w:tc>
        <w:tc>
          <w:tcPr>
            <w:tcW w:w="825" w:type="dxa"/>
            <w:vAlign w:val="center"/>
          </w:tcPr>
          <w:p w14:paraId="7F10018D">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4"/>
                <w:kern w:val="2"/>
                <w:sz w:val="21"/>
                <w:szCs w:val="21"/>
                <w:lang w:val="en-US" w:eastAsia="en-US" w:bidi="ar-SA"/>
              </w:rPr>
              <w:t>5%</w:t>
            </w:r>
          </w:p>
        </w:tc>
      </w:tr>
      <w:tr w14:paraId="54BC6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050" w:type="dxa"/>
            <w:vMerge w:val="continue"/>
            <w:tcBorders>
              <w:top w:val="nil"/>
              <w:bottom w:val="nil"/>
            </w:tcBorders>
            <w:vAlign w:val="top"/>
          </w:tcPr>
          <w:p w14:paraId="4BEAA915">
            <w:pPr>
              <w:rPr>
                <w:rFonts w:hint="eastAsia" w:ascii="仿宋_GB2312" w:hAnsi="仿宋_GB2312" w:eastAsia="仿宋_GB2312" w:cs="仿宋_GB2312"/>
                <w:sz w:val="21"/>
                <w:szCs w:val="22"/>
              </w:rPr>
            </w:pPr>
          </w:p>
        </w:tc>
        <w:tc>
          <w:tcPr>
            <w:tcW w:w="1154" w:type="dxa"/>
            <w:vAlign w:val="center"/>
          </w:tcPr>
          <w:p w14:paraId="11645DD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2"/>
                <w:kern w:val="2"/>
                <w:sz w:val="21"/>
                <w:szCs w:val="21"/>
                <w:lang w:val="en-US" w:eastAsia="en-US" w:bidi="ar-SA"/>
              </w:rPr>
              <w:t>获得奖励</w:t>
            </w:r>
          </w:p>
        </w:tc>
        <w:tc>
          <w:tcPr>
            <w:tcW w:w="6253" w:type="dxa"/>
            <w:vAlign w:val="center"/>
          </w:tcPr>
          <w:p w14:paraId="3FC0ACEF">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获得科学技术奖励的情况及中心人员对获奖成果的贡献。</w:t>
            </w:r>
          </w:p>
        </w:tc>
        <w:tc>
          <w:tcPr>
            <w:tcW w:w="825" w:type="dxa"/>
            <w:vAlign w:val="center"/>
          </w:tcPr>
          <w:p w14:paraId="5C83C279">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2"/>
                <w:kern w:val="2"/>
                <w:sz w:val="21"/>
                <w:szCs w:val="21"/>
                <w:lang w:val="en-US" w:eastAsia="en-US" w:bidi="ar-SA"/>
              </w:rPr>
              <w:t>4%</w:t>
            </w:r>
          </w:p>
        </w:tc>
      </w:tr>
      <w:tr w14:paraId="75EBF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50" w:type="dxa"/>
            <w:vMerge w:val="continue"/>
            <w:tcBorders>
              <w:top w:val="nil"/>
            </w:tcBorders>
            <w:vAlign w:val="top"/>
          </w:tcPr>
          <w:p w14:paraId="49FFBF99">
            <w:pPr>
              <w:rPr>
                <w:rFonts w:hint="eastAsia" w:ascii="仿宋_GB2312" w:hAnsi="仿宋_GB2312" w:eastAsia="仿宋_GB2312" w:cs="仿宋_GB2312"/>
                <w:sz w:val="21"/>
                <w:szCs w:val="22"/>
              </w:rPr>
            </w:pPr>
          </w:p>
        </w:tc>
        <w:tc>
          <w:tcPr>
            <w:tcW w:w="1154" w:type="dxa"/>
            <w:vAlign w:val="center"/>
          </w:tcPr>
          <w:p w14:paraId="649A6C6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2"/>
                <w:kern w:val="2"/>
                <w:sz w:val="21"/>
                <w:szCs w:val="21"/>
                <w:lang w:val="en-US" w:eastAsia="en-US" w:bidi="ar-SA"/>
              </w:rPr>
              <w:t>标志性成果</w:t>
            </w:r>
          </w:p>
        </w:tc>
        <w:tc>
          <w:tcPr>
            <w:tcW w:w="6253" w:type="dxa"/>
            <w:vAlign w:val="center"/>
          </w:tcPr>
          <w:p w14:paraId="47ED5096">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成果水平、产出与贡献及与中心研究方向和内容的紧密度。</w:t>
            </w:r>
          </w:p>
        </w:tc>
        <w:tc>
          <w:tcPr>
            <w:tcW w:w="825" w:type="dxa"/>
            <w:vAlign w:val="center"/>
          </w:tcPr>
          <w:p w14:paraId="42E44B81">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2"/>
                <w:kern w:val="2"/>
                <w:sz w:val="21"/>
                <w:szCs w:val="21"/>
                <w:lang w:val="en-US" w:eastAsia="en-US" w:bidi="ar-SA"/>
              </w:rPr>
              <w:t>4%</w:t>
            </w:r>
          </w:p>
        </w:tc>
      </w:tr>
      <w:tr w14:paraId="57DF9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1050" w:type="dxa"/>
            <w:vMerge w:val="restart"/>
            <w:tcBorders>
              <w:bottom w:val="nil"/>
            </w:tcBorders>
            <w:vAlign w:val="top"/>
          </w:tcPr>
          <w:p w14:paraId="7FBBDDEC">
            <w:pPr>
              <w:spacing w:line="263" w:lineRule="auto"/>
              <w:rPr>
                <w:rFonts w:hint="eastAsia" w:ascii="仿宋_GB2312" w:hAnsi="仿宋_GB2312" w:eastAsia="仿宋_GB2312" w:cs="仿宋_GB2312"/>
                <w:sz w:val="21"/>
                <w:szCs w:val="22"/>
              </w:rPr>
            </w:pPr>
          </w:p>
          <w:p w14:paraId="61B3922C">
            <w:pPr>
              <w:widowControl w:val="0"/>
              <w:spacing w:before="68" w:line="220" w:lineRule="auto"/>
              <w:ind w:left="148"/>
              <w:jc w:val="both"/>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b/>
                <w:bCs/>
                <w:spacing w:val="2"/>
                <w:kern w:val="2"/>
                <w:sz w:val="21"/>
                <w:szCs w:val="21"/>
                <w:lang w:val="en-US" w:eastAsia="en-US" w:bidi="ar-SA"/>
              </w:rPr>
              <w:t>转化应用</w:t>
            </w:r>
          </w:p>
          <w:p w14:paraId="7CA425ED">
            <w:pPr>
              <w:widowControl w:val="0"/>
              <w:spacing w:before="55" w:line="222" w:lineRule="auto"/>
              <w:ind w:left="295"/>
              <w:jc w:val="both"/>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8"/>
                <w:kern w:val="2"/>
                <w:sz w:val="21"/>
                <w:szCs w:val="21"/>
                <w:lang w:val="en-US" w:eastAsia="en-US" w:bidi="ar-SA"/>
              </w:rPr>
              <w:t>(20%)</w:t>
            </w:r>
          </w:p>
        </w:tc>
        <w:tc>
          <w:tcPr>
            <w:tcW w:w="1154" w:type="dxa"/>
            <w:vAlign w:val="center"/>
          </w:tcPr>
          <w:p w14:paraId="1F6882A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2"/>
                <w:kern w:val="2"/>
                <w:sz w:val="21"/>
                <w:szCs w:val="21"/>
                <w:lang w:val="en-US" w:eastAsia="en-US" w:bidi="ar-SA"/>
              </w:rPr>
              <w:t>成果转化项</w:t>
            </w:r>
            <w:r>
              <w:rPr>
                <w:rFonts w:hint="eastAsia" w:ascii="仿宋_GB2312" w:hAnsi="仿宋_GB2312" w:eastAsia="仿宋_GB2312" w:cs="仿宋_GB2312"/>
                <w:spacing w:val="-2"/>
                <w:kern w:val="2"/>
                <w:sz w:val="21"/>
                <w:szCs w:val="21"/>
                <w:lang w:val="en-US" w:eastAsia="en-US" w:bidi="ar-SA"/>
              </w:rPr>
              <w:t>数及比重</w:t>
            </w:r>
          </w:p>
        </w:tc>
        <w:tc>
          <w:tcPr>
            <w:tcW w:w="6253" w:type="dxa"/>
            <w:vAlign w:val="center"/>
          </w:tcPr>
          <w:p w14:paraId="374B00F3">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1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4"/>
                <w:kern w:val="2"/>
                <w:sz w:val="21"/>
                <w:szCs w:val="21"/>
                <w:lang w:val="en-US" w:eastAsia="en-US" w:bidi="ar-SA"/>
              </w:rPr>
              <w:t>转化应用成果的数量及与近三年取得成果总数的比例和发展趋</w:t>
            </w:r>
            <w:r>
              <w:rPr>
                <w:rFonts w:hint="eastAsia" w:ascii="仿宋_GB2312" w:hAnsi="仿宋_GB2312" w:eastAsia="仿宋_GB2312" w:cs="仿宋_GB2312"/>
                <w:spacing w:val="-7"/>
                <w:kern w:val="2"/>
                <w:sz w:val="21"/>
                <w:szCs w:val="21"/>
                <w:lang w:val="en-US" w:eastAsia="en-US" w:bidi="ar-SA"/>
              </w:rPr>
              <w:t>势。</w:t>
            </w:r>
          </w:p>
        </w:tc>
        <w:tc>
          <w:tcPr>
            <w:tcW w:w="825" w:type="dxa"/>
            <w:vAlign w:val="center"/>
          </w:tcPr>
          <w:p w14:paraId="7ABBF3E4">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4"/>
                <w:kern w:val="2"/>
                <w:sz w:val="21"/>
                <w:szCs w:val="21"/>
                <w:lang w:val="en-US" w:eastAsia="en-US" w:bidi="ar-SA"/>
              </w:rPr>
              <w:t>5%</w:t>
            </w:r>
          </w:p>
        </w:tc>
      </w:tr>
      <w:tr w14:paraId="0FEFD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4" w:hRule="atLeast"/>
        </w:trPr>
        <w:tc>
          <w:tcPr>
            <w:tcW w:w="1050" w:type="dxa"/>
            <w:vMerge w:val="continue"/>
            <w:tcBorders>
              <w:top w:val="nil"/>
            </w:tcBorders>
            <w:vAlign w:val="top"/>
          </w:tcPr>
          <w:p w14:paraId="594D1CF1">
            <w:pPr>
              <w:rPr>
                <w:rFonts w:hint="eastAsia" w:ascii="仿宋_GB2312" w:hAnsi="仿宋_GB2312" w:eastAsia="仿宋_GB2312" w:cs="仿宋_GB2312"/>
                <w:sz w:val="21"/>
                <w:szCs w:val="22"/>
              </w:rPr>
            </w:pPr>
          </w:p>
        </w:tc>
        <w:tc>
          <w:tcPr>
            <w:tcW w:w="1154" w:type="dxa"/>
            <w:vAlign w:val="center"/>
          </w:tcPr>
          <w:p w14:paraId="408E9C9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2"/>
                <w:kern w:val="2"/>
                <w:sz w:val="21"/>
                <w:szCs w:val="21"/>
                <w:lang w:val="en-US" w:eastAsia="en-US" w:bidi="ar-SA"/>
              </w:rPr>
              <w:t>产业贡献</w:t>
            </w:r>
          </w:p>
        </w:tc>
        <w:tc>
          <w:tcPr>
            <w:tcW w:w="6253" w:type="dxa"/>
            <w:vAlign w:val="center"/>
          </w:tcPr>
          <w:p w14:paraId="4056DAB2">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3"/>
                <w:kern w:val="2"/>
                <w:sz w:val="21"/>
                <w:szCs w:val="21"/>
                <w:lang w:val="en-US" w:eastAsia="en-US" w:bidi="ar-SA"/>
              </w:rPr>
              <w:t>1.专利实施、新产品生产、新技术或新工艺应用为依托单位新</w:t>
            </w:r>
            <w:r>
              <w:rPr>
                <w:rFonts w:hint="eastAsia" w:ascii="仿宋_GB2312" w:hAnsi="仿宋_GB2312" w:eastAsia="仿宋_GB2312" w:cs="仿宋_GB2312"/>
                <w:spacing w:val="-1"/>
                <w:kern w:val="2"/>
                <w:sz w:val="21"/>
                <w:szCs w:val="21"/>
                <w:lang w:val="en-US" w:eastAsia="en-US" w:bidi="ar-SA"/>
              </w:rPr>
              <w:t>增的销售收入、利润或经济效益情况。</w:t>
            </w:r>
          </w:p>
          <w:p w14:paraId="2A527299">
            <w:pPr>
              <w:keepNext w:val="0"/>
              <w:keepLines w:val="0"/>
              <w:pageBreakBefore w:val="0"/>
              <w:widowControl w:val="0"/>
              <w:kinsoku/>
              <w:wordWrap/>
              <w:overflowPunct/>
              <w:topLinePunct w:val="0"/>
              <w:autoSpaceDE/>
              <w:autoSpaceDN/>
              <w:bidi w:val="0"/>
              <w:adjustRightInd/>
              <w:snapToGrid/>
              <w:spacing w:line="320" w:lineRule="exact"/>
              <w:ind w:left="114" w:leftChars="50" w:right="105" w:rightChars="50" w:hanging="9"/>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3"/>
                <w:kern w:val="2"/>
                <w:sz w:val="21"/>
                <w:szCs w:val="21"/>
                <w:lang w:val="en-US" w:eastAsia="en-US" w:bidi="ar-SA"/>
              </w:rPr>
              <w:t>2.专利、技术</w:t>
            </w:r>
            <w:r>
              <w:rPr>
                <w:rFonts w:hint="eastAsia" w:ascii="仿宋_GB2312" w:hAnsi="仿宋_GB2312" w:eastAsia="仿宋_GB2312" w:cs="仿宋_GB2312"/>
                <w:spacing w:val="-3"/>
                <w:kern w:val="2"/>
                <w:sz w:val="21"/>
                <w:szCs w:val="21"/>
                <w:lang w:val="en-US" w:eastAsia="zh-CN" w:bidi="ar-SA"/>
              </w:rPr>
              <w:t>（</w:t>
            </w:r>
            <w:r>
              <w:rPr>
                <w:rFonts w:hint="eastAsia" w:ascii="仿宋_GB2312" w:hAnsi="仿宋_GB2312" w:eastAsia="仿宋_GB2312" w:cs="仿宋_GB2312"/>
                <w:spacing w:val="-3"/>
                <w:kern w:val="2"/>
                <w:sz w:val="21"/>
                <w:szCs w:val="21"/>
                <w:lang w:val="en-US" w:eastAsia="en-US" w:bidi="ar-SA"/>
              </w:rPr>
              <w:t>工艺</w:t>
            </w:r>
            <w:r>
              <w:rPr>
                <w:rFonts w:hint="eastAsia" w:ascii="仿宋_GB2312" w:hAnsi="仿宋_GB2312" w:eastAsia="仿宋_GB2312" w:cs="仿宋_GB2312"/>
                <w:spacing w:val="-3"/>
                <w:kern w:val="2"/>
                <w:sz w:val="21"/>
                <w:szCs w:val="21"/>
                <w:lang w:val="en-US" w:eastAsia="zh-CN" w:bidi="ar-SA"/>
              </w:rPr>
              <w:t>）</w:t>
            </w:r>
            <w:r>
              <w:rPr>
                <w:rFonts w:hint="eastAsia" w:ascii="仿宋_GB2312" w:hAnsi="仿宋_GB2312" w:eastAsia="仿宋_GB2312" w:cs="仿宋_GB2312"/>
                <w:spacing w:val="-3"/>
                <w:kern w:val="2"/>
                <w:sz w:val="21"/>
                <w:szCs w:val="21"/>
                <w:lang w:val="en-US" w:eastAsia="en-US" w:bidi="ar-SA"/>
              </w:rPr>
              <w:t>合同转让情况；专利实施、新产品生产、</w:t>
            </w:r>
            <w:r>
              <w:rPr>
                <w:rFonts w:hint="eastAsia" w:ascii="仿宋_GB2312" w:hAnsi="仿宋_GB2312" w:eastAsia="仿宋_GB2312" w:cs="仿宋_GB2312"/>
                <w:spacing w:val="-7"/>
                <w:kern w:val="2"/>
                <w:sz w:val="21"/>
                <w:szCs w:val="21"/>
                <w:lang w:val="en-US" w:eastAsia="en-US" w:bidi="ar-SA"/>
              </w:rPr>
              <w:t>新技术或新工艺应用为其他单位新增的销售收入、利润或经济</w:t>
            </w:r>
            <w:r>
              <w:rPr>
                <w:rFonts w:hint="eastAsia" w:ascii="仿宋_GB2312" w:hAnsi="仿宋_GB2312" w:eastAsia="仿宋_GB2312" w:cs="仿宋_GB2312"/>
                <w:spacing w:val="-2"/>
                <w:kern w:val="2"/>
                <w:sz w:val="21"/>
                <w:szCs w:val="21"/>
                <w:lang w:val="en-US" w:eastAsia="en-US" w:bidi="ar-SA"/>
              </w:rPr>
              <w:t>效益情况。</w:t>
            </w:r>
          </w:p>
        </w:tc>
        <w:tc>
          <w:tcPr>
            <w:tcW w:w="825" w:type="dxa"/>
            <w:vAlign w:val="center"/>
          </w:tcPr>
          <w:p w14:paraId="5B607B53">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6"/>
                <w:kern w:val="2"/>
                <w:sz w:val="21"/>
                <w:szCs w:val="21"/>
                <w:lang w:val="en-US" w:eastAsia="en-US" w:bidi="ar-SA"/>
              </w:rPr>
              <w:t>15%</w:t>
            </w:r>
          </w:p>
        </w:tc>
      </w:tr>
      <w:tr w14:paraId="6FB67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050" w:type="dxa"/>
            <w:vMerge w:val="restart"/>
            <w:tcBorders>
              <w:bottom w:val="nil"/>
            </w:tcBorders>
            <w:vAlign w:val="top"/>
          </w:tcPr>
          <w:p w14:paraId="13312C51">
            <w:pPr>
              <w:spacing w:line="306" w:lineRule="auto"/>
              <w:rPr>
                <w:rFonts w:hint="eastAsia" w:ascii="仿宋_GB2312" w:hAnsi="仿宋_GB2312" w:eastAsia="仿宋_GB2312" w:cs="仿宋_GB2312"/>
                <w:sz w:val="21"/>
                <w:szCs w:val="22"/>
              </w:rPr>
            </w:pPr>
          </w:p>
          <w:p w14:paraId="58B672A0">
            <w:pPr>
              <w:spacing w:line="306" w:lineRule="auto"/>
              <w:rPr>
                <w:rFonts w:hint="eastAsia" w:ascii="仿宋_GB2312" w:hAnsi="仿宋_GB2312" w:eastAsia="仿宋_GB2312" w:cs="仿宋_GB2312"/>
                <w:sz w:val="21"/>
                <w:szCs w:val="22"/>
              </w:rPr>
            </w:pPr>
          </w:p>
          <w:p w14:paraId="6E737C4D">
            <w:pPr>
              <w:widowControl w:val="0"/>
              <w:spacing w:before="68" w:line="220" w:lineRule="auto"/>
              <w:ind w:left="148"/>
              <w:jc w:val="both"/>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b/>
                <w:bCs/>
                <w:spacing w:val="-4"/>
                <w:kern w:val="2"/>
                <w:sz w:val="21"/>
                <w:szCs w:val="21"/>
                <w:lang w:val="en-US" w:eastAsia="en-US" w:bidi="ar-SA"/>
              </w:rPr>
              <w:t>开放协作</w:t>
            </w:r>
          </w:p>
          <w:p w14:paraId="2ED2CC7E">
            <w:pPr>
              <w:widowControl w:val="0"/>
              <w:spacing w:before="65" w:line="222" w:lineRule="auto"/>
              <w:ind w:left="295"/>
              <w:jc w:val="both"/>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8"/>
                <w:kern w:val="2"/>
                <w:sz w:val="21"/>
                <w:szCs w:val="21"/>
                <w:lang w:val="en-US" w:eastAsia="en-US" w:bidi="ar-SA"/>
              </w:rPr>
              <w:t>(15%)</w:t>
            </w:r>
          </w:p>
        </w:tc>
        <w:tc>
          <w:tcPr>
            <w:tcW w:w="1154" w:type="dxa"/>
            <w:vAlign w:val="center"/>
          </w:tcPr>
          <w:p w14:paraId="4139F40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2"/>
                <w:kern w:val="2"/>
                <w:sz w:val="21"/>
                <w:szCs w:val="21"/>
                <w:lang w:val="en-US" w:eastAsia="en-US" w:bidi="ar-SA"/>
              </w:rPr>
              <w:t>合作研发</w:t>
            </w:r>
          </w:p>
        </w:tc>
        <w:tc>
          <w:tcPr>
            <w:tcW w:w="6253" w:type="dxa"/>
            <w:vAlign w:val="center"/>
          </w:tcPr>
          <w:p w14:paraId="5C7B9751">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3"/>
                <w:kern w:val="2"/>
                <w:sz w:val="21"/>
                <w:szCs w:val="21"/>
                <w:lang w:val="en-US" w:eastAsia="en-US" w:bidi="ar-SA"/>
              </w:rPr>
              <w:t>联合研发项目、委托研发项目、设置开放课题、引进消化吸收</w:t>
            </w:r>
            <w:r>
              <w:rPr>
                <w:rFonts w:hint="eastAsia" w:ascii="仿宋_GB2312" w:hAnsi="仿宋_GB2312" w:eastAsia="仿宋_GB2312" w:cs="仿宋_GB2312"/>
                <w:kern w:val="2"/>
                <w:sz w:val="21"/>
                <w:szCs w:val="21"/>
                <w:lang w:val="en-US" w:eastAsia="en-US" w:bidi="ar-SA"/>
              </w:rPr>
              <w:t>技术项目和集成应用情况。</w:t>
            </w:r>
          </w:p>
        </w:tc>
        <w:tc>
          <w:tcPr>
            <w:tcW w:w="825" w:type="dxa"/>
            <w:vAlign w:val="center"/>
          </w:tcPr>
          <w:p w14:paraId="6EE3A09F">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3"/>
                <w:kern w:val="2"/>
                <w:sz w:val="21"/>
                <w:szCs w:val="21"/>
                <w:lang w:val="en-US" w:eastAsia="en-US" w:bidi="ar-SA"/>
              </w:rPr>
              <w:t>6%</w:t>
            </w:r>
          </w:p>
        </w:tc>
      </w:tr>
      <w:tr w14:paraId="0547F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050" w:type="dxa"/>
            <w:vMerge w:val="continue"/>
            <w:tcBorders>
              <w:top w:val="nil"/>
              <w:bottom w:val="nil"/>
            </w:tcBorders>
            <w:vAlign w:val="top"/>
          </w:tcPr>
          <w:p w14:paraId="59C4CDE8">
            <w:pPr>
              <w:rPr>
                <w:rFonts w:hint="eastAsia" w:ascii="仿宋_GB2312" w:hAnsi="仿宋_GB2312" w:eastAsia="仿宋_GB2312" w:cs="仿宋_GB2312"/>
                <w:sz w:val="21"/>
                <w:szCs w:val="22"/>
              </w:rPr>
            </w:pPr>
          </w:p>
        </w:tc>
        <w:tc>
          <w:tcPr>
            <w:tcW w:w="1154" w:type="dxa"/>
            <w:vAlign w:val="center"/>
          </w:tcPr>
          <w:p w14:paraId="7748E40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2"/>
                <w:kern w:val="2"/>
                <w:sz w:val="21"/>
                <w:szCs w:val="21"/>
                <w:lang w:val="en-US" w:eastAsia="en-US" w:bidi="ar-SA"/>
              </w:rPr>
              <w:t>开放共享</w:t>
            </w:r>
          </w:p>
        </w:tc>
        <w:tc>
          <w:tcPr>
            <w:tcW w:w="6253" w:type="dxa"/>
            <w:vAlign w:val="center"/>
          </w:tcPr>
          <w:p w14:paraId="0197A332">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大型科研仪器设备开放共享服务情况。</w:t>
            </w:r>
          </w:p>
        </w:tc>
        <w:tc>
          <w:tcPr>
            <w:tcW w:w="825" w:type="dxa"/>
            <w:vAlign w:val="center"/>
          </w:tcPr>
          <w:p w14:paraId="1D6ADAA0">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4"/>
                <w:kern w:val="2"/>
                <w:sz w:val="21"/>
                <w:szCs w:val="21"/>
                <w:lang w:val="en-US" w:eastAsia="en-US" w:bidi="ar-SA"/>
              </w:rPr>
              <w:t>3%</w:t>
            </w:r>
          </w:p>
        </w:tc>
      </w:tr>
      <w:tr w14:paraId="35D11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050" w:type="dxa"/>
            <w:vMerge w:val="continue"/>
            <w:tcBorders>
              <w:top w:val="nil"/>
              <w:bottom w:val="nil"/>
            </w:tcBorders>
            <w:vAlign w:val="top"/>
          </w:tcPr>
          <w:p w14:paraId="5A271017">
            <w:pPr>
              <w:rPr>
                <w:rFonts w:hint="eastAsia" w:ascii="仿宋_GB2312" w:hAnsi="仿宋_GB2312" w:eastAsia="仿宋_GB2312" w:cs="仿宋_GB2312"/>
                <w:sz w:val="21"/>
                <w:szCs w:val="22"/>
              </w:rPr>
            </w:pPr>
          </w:p>
        </w:tc>
        <w:tc>
          <w:tcPr>
            <w:tcW w:w="1154" w:type="dxa"/>
            <w:vAlign w:val="center"/>
          </w:tcPr>
          <w:p w14:paraId="726BAFB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2"/>
                <w:kern w:val="2"/>
                <w:sz w:val="21"/>
                <w:szCs w:val="21"/>
                <w:lang w:val="en-US" w:eastAsia="en-US" w:bidi="ar-SA"/>
              </w:rPr>
              <w:t>技术服务</w:t>
            </w:r>
          </w:p>
        </w:tc>
        <w:tc>
          <w:tcPr>
            <w:tcW w:w="6253" w:type="dxa"/>
            <w:vAlign w:val="center"/>
          </w:tcPr>
          <w:p w14:paraId="65EF137B">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技术咨询、技术服务、技术推广和技术培训情况。</w:t>
            </w:r>
          </w:p>
        </w:tc>
        <w:tc>
          <w:tcPr>
            <w:tcW w:w="825" w:type="dxa"/>
            <w:vAlign w:val="center"/>
          </w:tcPr>
          <w:p w14:paraId="7B291812">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4"/>
                <w:kern w:val="2"/>
                <w:sz w:val="21"/>
                <w:szCs w:val="21"/>
                <w:lang w:val="en-US" w:eastAsia="en-US" w:bidi="ar-SA"/>
              </w:rPr>
              <w:t>3%</w:t>
            </w:r>
          </w:p>
        </w:tc>
      </w:tr>
      <w:tr w14:paraId="6576C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050" w:type="dxa"/>
            <w:vMerge w:val="continue"/>
            <w:tcBorders>
              <w:top w:val="nil"/>
            </w:tcBorders>
            <w:vAlign w:val="top"/>
          </w:tcPr>
          <w:p w14:paraId="4E816C02">
            <w:pPr>
              <w:rPr>
                <w:rFonts w:hint="eastAsia" w:ascii="仿宋_GB2312" w:hAnsi="仿宋_GB2312" w:eastAsia="仿宋_GB2312" w:cs="仿宋_GB2312"/>
                <w:sz w:val="21"/>
                <w:szCs w:val="22"/>
              </w:rPr>
            </w:pPr>
          </w:p>
        </w:tc>
        <w:tc>
          <w:tcPr>
            <w:tcW w:w="1154" w:type="dxa"/>
            <w:vAlign w:val="center"/>
          </w:tcPr>
          <w:p w14:paraId="74F5EF6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2"/>
                <w:kern w:val="2"/>
                <w:sz w:val="21"/>
                <w:szCs w:val="21"/>
                <w:lang w:val="en-US" w:eastAsia="en-US" w:bidi="ar-SA"/>
              </w:rPr>
              <w:t>技术交流</w:t>
            </w:r>
          </w:p>
        </w:tc>
        <w:tc>
          <w:tcPr>
            <w:tcW w:w="6253" w:type="dxa"/>
            <w:vAlign w:val="center"/>
          </w:tcPr>
          <w:p w14:paraId="43CACED1">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both"/>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kern w:val="2"/>
                <w:sz w:val="21"/>
                <w:szCs w:val="21"/>
                <w:lang w:val="en-US" w:eastAsia="en-US" w:bidi="ar-SA"/>
              </w:rPr>
              <w:t>主办承办工程技术会议、技术交流会议情况。</w:t>
            </w:r>
          </w:p>
        </w:tc>
        <w:tc>
          <w:tcPr>
            <w:tcW w:w="825" w:type="dxa"/>
            <w:vAlign w:val="center"/>
          </w:tcPr>
          <w:p w14:paraId="19C1A7B7">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center"/>
              <w:textAlignment w:val="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spacing w:val="-4"/>
                <w:kern w:val="2"/>
                <w:sz w:val="21"/>
                <w:szCs w:val="21"/>
                <w:lang w:val="en-US" w:eastAsia="en-US" w:bidi="ar-SA"/>
              </w:rPr>
              <w:t>3%</w:t>
            </w:r>
          </w:p>
        </w:tc>
      </w:tr>
    </w:tbl>
    <w:p w14:paraId="542E0A17"/>
    <w:sectPr>
      <w:footerReference r:id="rId4" w:type="default"/>
      <w:pgSz w:w="11906" w:h="16838"/>
      <w:pgMar w:top="2098" w:right="1474" w:bottom="1984" w:left="1587" w:header="851" w:footer="1417" w:gutter="0"/>
      <w:pgNumType w:fmt="decimal"/>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98653">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92DC43">
                          <w:pPr>
                            <w:widowControl w:val="0"/>
                            <w:tabs>
                              <w:tab w:val="center" w:pos="4153"/>
                              <w:tab w:val="right" w:pos="8306"/>
                            </w:tabs>
                            <w:snapToGrid w:val="0"/>
                            <w:jc w:val="left"/>
                            <w:rPr>
                              <w:rFonts w:ascii="宋体" w:hAnsi="宋体" w:eastAsia="宋体" w:cs="Times New Roman"/>
                              <w:kern w:val="2"/>
                              <w:sz w:val="28"/>
                              <w:szCs w:val="22"/>
                              <w:lang w:val="en-US" w:eastAsia="zh-CN" w:bidi="ar-SA"/>
                            </w:rPr>
                          </w:pPr>
                          <w:r>
                            <w:rPr>
                              <w:rFonts w:ascii="宋体" w:hAnsi="宋体" w:eastAsia="宋体" w:cs="Times New Roman"/>
                              <w:kern w:val="2"/>
                              <w:sz w:val="28"/>
                              <w:szCs w:val="22"/>
                              <w:lang w:val="en-US" w:eastAsia="zh-CN" w:bidi="ar-SA"/>
                            </w:rPr>
                            <w:t>—</w:t>
                          </w:r>
                          <w:r>
                            <w:rPr>
                              <w:rFonts w:ascii="宋体" w:hAnsi="宋体" w:eastAsia="宋体" w:cs="Times New Roman"/>
                              <w:kern w:val="2"/>
                              <w:sz w:val="24"/>
                              <w:szCs w:val="22"/>
                              <w:lang w:val="en-US" w:eastAsia="zh-CN" w:bidi="ar-SA"/>
                            </w:rPr>
                            <w:t>　</w:t>
                          </w:r>
                          <w:r>
                            <w:rPr>
                              <w:rFonts w:ascii="宋体" w:hAnsi="宋体" w:eastAsia="宋体" w:cs="Times New Roman"/>
                              <w:kern w:val="2"/>
                              <w:sz w:val="28"/>
                              <w:szCs w:val="22"/>
                              <w:lang w:val="en-US" w:eastAsia="zh-CN" w:bidi="ar-SA"/>
                            </w:rPr>
                            <w:fldChar w:fldCharType="begin"/>
                          </w:r>
                          <w:r>
                            <w:rPr>
                              <w:rFonts w:ascii="宋体" w:hAnsi="宋体" w:eastAsia="宋体" w:cs="Times New Roman"/>
                              <w:kern w:val="2"/>
                              <w:sz w:val="28"/>
                              <w:szCs w:val="22"/>
                              <w:lang w:val="en-US" w:eastAsia="zh-CN" w:bidi="ar-SA"/>
                            </w:rPr>
                            <w:instrText xml:space="preserve"> PAGE  \* MERGEFORMAT </w:instrText>
                          </w:r>
                          <w:r>
                            <w:rPr>
                              <w:rFonts w:ascii="宋体" w:hAnsi="宋体" w:eastAsia="宋体" w:cs="Times New Roman"/>
                              <w:kern w:val="2"/>
                              <w:sz w:val="28"/>
                              <w:szCs w:val="22"/>
                              <w:lang w:val="en-US" w:eastAsia="zh-CN" w:bidi="ar-SA"/>
                            </w:rPr>
                            <w:fldChar w:fldCharType="separate"/>
                          </w:r>
                          <w:r>
                            <w:rPr>
                              <w:rFonts w:ascii="宋体" w:hAnsi="宋体" w:eastAsia="宋体" w:cs="Times New Roman"/>
                              <w:kern w:val="2"/>
                              <w:sz w:val="28"/>
                              <w:szCs w:val="22"/>
                              <w:lang w:val="en-US" w:eastAsia="zh-CN" w:bidi="ar-SA"/>
                            </w:rPr>
                            <w:t>1</w:t>
                          </w:r>
                          <w:r>
                            <w:rPr>
                              <w:rFonts w:ascii="宋体" w:hAnsi="宋体" w:eastAsia="宋体" w:cs="Times New Roman"/>
                              <w:kern w:val="2"/>
                              <w:sz w:val="28"/>
                              <w:szCs w:val="22"/>
                              <w:lang w:val="en-US" w:eastAsia="zh-CN" w:bidi="ar-SA"/>
                            </w:rPr>
                            <w:fldChar w:fldCharType="end"/>
                          </w:r>
                          <w:r>
                            <w:rPr>
                              <w:rFonts w:ascii="宋体" w:hAnsi="宋体" w:eastAsia="宋体" w:cs="Times New Roman"/>
                              <w:kern w:val="2"/>
                              <w:sz w:val="24"/>
                              <w:szCs w:val="22"/>
                              <w:lang w:val="en-US" w:eastAsia="zh-CN" w:bidi="ar-SA"/>
                            </w:rPr>
                            <w:t>　</w:t>
                          </w:r>
                          <w:r>
                            <w:rPr>
                              <w:rFonts w:ascii="宋体" w:hAnsi="宋体" w:eastAsia="宋体" w:cs="Times New Roman"/>
                              <w:kern w:val="2"/>
                              <w:sz w:val="28"/>
                              <w:szCs w:val="22"/>
                              <w:lang w:val="en-US" w:eastAsia="zh-CN" w:bidi="ar-SA"/>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GpUrO1gAAAAYBAAAPAAAAAAAAAAEAIAAAACIAAABkcnMv&#10;ZG93bnJldi54bWxQSwECFAAUAAAACACHTuJAi5SiOD4CAAB5BAAADgAAAAAAAAABACAAAAAlAQAA&#10;ZHJzL2Uyb0RvYy54bWxQSwUGAAAAAAYABgBZAQAA1QUAAAAA&#10;">
              <v:fill on="f" focussize="0,0"/>
              <v:stroke on="f" weight="0.5pt"/>
              <v:imagedata o:title=""/>
              <o:lock v:ext="edit" aspectratio="f"/>
              <v:textbox inset="16pt,0mm,16pt,0mm" style="mso-fit-shape-to-text:t;">
                <w:txbxContent>
                  <w:p w14:paraId="6792DC43">
                    <w:pPr>
                      <w:widowControl w:val="0"/>
                      <w:tabs>
                        <w:tab w:val="center" w:pos="4153"/>
                        <w:tab w:val="right" w:pos="8306"/>
                      </w:tabs>
                      <w:snapToGrid w:val="0"/>
                      <w:jc w:val="left"/>
                      <w:rPr>
                        <w:rFonts w:ascii="宋体" w:hAnsi="宋体" w:eastAsia="宋体" w:cs="Times New Roman"/>
                        <w:kern w:val="2"/>
                        <w:sz w:val="28"/>
                        <w:szCs w:val="22"/>
                        <w:lang w:val="en-US" w:eastAsia="zh-CN" w:bidi="ar-SA"/>
                      </w:rPr>
                    </w:pPr>
                    <w:r>
                      <w:rPr>
                        <w:rFonts w:ascii="宋体" w:hAnsi="宋体" w:eastAsia="宋体" w:cs="Times New Roman"/>
                        <w:kern w:val="2"/>
                        <w:sz w:val="28"/>
                        <w:szCs w:val="22"/>
                        <w:lang w:val="en-US" w:eastAsia="zh-CN" w:bidi="ar-SA"/>
                      </w:rPr>
                      <w:t>—</w:t>
                    </w:r>
                    <w:r>
                      <w:rPr>
                        <w:rFonts w:ascii="宋体" w:hAnsi="宋体" w:eastAsia="宋体" w:cs="Times New Roman"/>
                        <w:kern w:val="2"/>
                        <w:sz w:val="24"/>
                        <w:szCs w:val="22"/>
                        <w:lang w:val="en-US" w:eastAsia="zh-CN" w:bidi="ar-SA"/>
                      </w:rPr>
                      <w:t>　</w:t>
                    </w:r>
                    <w:r>
                      <w:rPr>
                        <w:rFonts w:ascii="宋体" w:hAnsi="宋体" w:eastAsia="宋体" w:cs="Times New Roman"/>
                        <w:kern w:val="2"/>
                        <w:sz w:val="28"/>
                        <w:szCs w:val="22"/>
                        <w:lang w:val="en-US" w:eastAsia="zh-CN" w:bidi="ar-SA"/>
                      </w:rPr>
                      <w:fldChar w:fldCharType="begin"/>
                    </w:r>
                    <w:r>
                      <w:rPr>
                        <w:rFonts w:ascii="宋体" w:hAnsi="宋体" w:eastAsia="宋体" w:cs="Times New Roman"/>
                        <w:kern w:val="2"/>
                        <w:sz w:val="28"/>
                        <w:szCs w:val="22"/>
                        <w:lang w:val="en-US" w:eastAsia="zh-CN" w:bidi="ar-SA"/>
                      </w:rPr>
                      <w:instrText xml:space="preserve"> PAGE  \* MERGEFORMAT </w:instrText>
                    </w:r>
                    <w:r>
                      <w:rPr>
                        <w:rFonts w:ascii="宋体" w:hAnsi="宋体" w:eastAsia="宋体" w:cs="Times New Roman"/>
                        <w:kern w:val="2"/>
                        <w:sz w:val="28"/>
                        <w:szCs w:val="22"/>
                        <w:lang w:val="en-US" w:eastAsia="zh-CN" w:bidi="ar-SA"/>
                      </w:rPr>
                      <w:fldChar w:fldCharType="separate"/>
                    </w:r>
                    <w:r>
                      <w:rPr>
                        <w:rFonts w:ascii="宋体" w:hAnsi="宋体" w:eastAsia="宋体" w:cs="Times New Roman"/>
                        <w:kern w:val="2"/>
                        <w:sz w:val="28"/>
                        <w:szCs w:val="22"/>
                        <w:lang w:val="en-US" w:eastAsia="zh-CN" w:bidi="ar-SA"/>
                      </w:rPr>
                      <w:t>1</w:t>
                    </w:r>
                    <w:r>
                      <w:rPr>
                        <w:rFonts w:ascii="宋体" w:hAnsi="宋体" w:eastAsia="宋体" w:cs="Times New Roman"/>
                        <w:kern w:val="2"/>
                        <w:sz w:val="28"/>
                        <w:szCs w:val="22"/>
                        <w:lang w:val="en-US" w:eastAsia="zh-CN" w:bidi="ar-SA"/>
                      </w:rPr>
                      <w:fldChar w:fldCharType="end"/>
                    </w:r>
                    <w:r>
                      <w:rPr>
                        <w:rFonts w:ascii="宋体" w:hAnsi="宋体" w:eastAsia="宋体" w:cs="Times New Roman"/>
                        <w:kern w:val="2"/>
                        <w:sz w:val="24"/>
                        <w:szCs w:val="22"/>
                        <w:lang w:val="en-US" w:eastAsia="zh-CN" w:bidi="ar-SA"/>
                      </w:rPr>
                      <w:t>　</w:t>
                    </w:r>
                    <w:r>
                      <w:rPr>
                        <w:rFonts w:ascii="宋体" w:hAnsi="宋体" w:eastAsia="宋体" w:cs="Times New Roman"/>
                        <w:kern w:val="2"/>
                        <w:sz w:val="28"/>
                        <w:szCs w:val="22"/>
                        <w:lang w:val="en-US" w:eastAsia="zh-CN" w:bidi="ar-S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0D950">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3895F2">
                          <w:pPr>
                            <w:keepNext w:val="0"/>
                            <w:keepLines w:val="0"/>
                            <w:pageBreakBefore w:val="0"/>
                            <w:widowControl w:val="0"/>
                            <w:tabs>
                              <w:tab w:val="center" w:pos="4153"/>
                              <w:tab w:val="right" w:pos="8306"/>
                            </w:tabs>
                            <w:kinsoku/>
                            <w:wordWrap/>
                            <w:overflowPunct/>
                            <w:topLinePunct w:val="0"/>
                            <w:autoSpaceDE/>
                            <w:autoSpaceDN/>
                            <w:bidi w:val="0"/>
                            <w:adjustRightInd/>
                            <w:snapToGrid w:val="0"/>
                            <w:ind w:left="210" w:leftChars="100" w:right="210" w:rightChars="100"/>
                            <w:jc w:val="left"/>
                            <w:textAlignment w:val="auto"/>
                            <w:rPr>
                              <w:rFonts w:ascii="宋体" w:hAnsi="宋体" w:eastAsia="宋体" w:cs="Times New Roman"/>
                              <w:kern w:val="2"/>
                              <w:sz w:val="28"/>
                              <w:szCs w:val="24"/>
                              <w:lang w:val="en-US" w:eastAsia="zh-CN" w:bidi="ar-SA"/>
                            </w:rPr>
                          </w:pPr>
                          <w:r>
                            <w:rPr>
                              <w:rFonts w:ascii="宋体" w:hAnsi="宋体" w:eastAsia="宋体" w:cs="Times New Roman"/>
                              <w:kern w:val="2"/>
                              <w:sz w:val="28"/>
                              <w:szCs w:val="24"/>
                              <w:lang w:val="en-US" w:eastAsia="zh-CN" w:bidi="ar-SA"/>
                            </w:rPr>
                            <w:t>—</w:t>
                          </w:r>
                          <w:r>
                            <w:rPr>
                              <w:rFonts w:ascii="宋体" w:hAnsi="宋体" w:eastAsia="宋体" w:cs="Times New Roman"/>
                              <w:kern w:val="2"/>
                              <w:sz w:val="24"/>
                              <w:szCs w:val="24"/>
                              <w:lang w:val="en-US" w:eastAsia="zh-CN" w:bidi="ar-SA"/>
                            </w:rPr>
                            <w:t>　</w:t>
                          </w:r>
                          <w:r>
                            <w:rPr>
                              <w:rFonts w:ascii="宋体" w:hAnsi="宋体" w:eastAsia="宋体" w:cs="Times New Roman"/>
                              <w:kern w:val="2"/>
                              <w:sz w:val="28"/>
                              <w:szCs w:val="24"/>
                              <w:lang w:val="en-US" w:eastAsia="zh-CN" w:bidi="ar-SA"/>
                            </w:rPr>
                            <w:fldChar w:fldCharType="begin"/>
                          </w:r>
                          <w:r>
                            <w:rPr>
                              <w:rFonts w:ascii="宋体" w:hAnsi="宋体" w:eastAsia="宋体" w:cs="Times New Roman"/>
                              <w:kern w:val="2"/>
                              <w:sz w:val="28"/>
                              <w:szCs w:val="24"/>
                              <w:lang w:val="en-US" w:eastAsia="zh-CN" w:bidi="ar-SA"/>
                            </w:rPr>
                            <w:instrText xml:space="preserve"> PAGE  \* MERGEFORMAT </w:instrText>
                          </w:r>
                          <w:r>
                            <w:rPr>
                              <w:rFonts w:ascii="宋体" w:hAnsi="宋体" w:eastAsia="宋体" w:cs="Times New Roman"/>
                              <w:kern w:val="2"/>
                              <w:sz w:val="28"/>
                              <w:szCs w:val="24"/>
                              <w:lang w:val="en-US" w:eastAsia="zh-CN" w:bidi="ar-SA"/>
                            </w:rPr>
                            <w:fldChar w:fldCharType="separate"/>
                          </w:r>
                          <w:r>
                            <w:rPr>
                              <w:rFonts w:ascii="宋体" w:hAnsi="宋体" w:eastAsia="宋体" w:cs="Times New Roman"/>
                              <w:kern w:val="2"/>
                              <w:sz w:val="28"/>
                              <w:szCs w:val="24"/>
                              <w:lang w:val="en-US" w:eastAsia="zh-CN" w:bidi="ar-SA"/>
                            </w:rPr>
                            <w:t>10</w:t>
                          </w:r>
                          <w:r>
                            <w:rPr>
                              <w:rFonts w:ascii="宋体" w:hAnsi="宋体" w:eastAsia="宋体" w:cs="Times New Roman"/>
                              <w:kern w:val="2"/>
                              <w:sz w:val="28"/>
                              <w:szCs w:val="24"/>
                              <w:lang w:val="en-US" w:eastAsia="zh-CN" w:bidi="ar-SA"/>
                            </w:rPr>
                            <w:fldChar w:fldCharType="end"/>
                          </w:r>
                          <w:r>
                            <w:rPr>
                              <w:rFonts w:ascii="宋体" w:hAnsi="宋体" w:eastAsia="宋体" w:cs="Times New Roman"/>
                              <w:kern w:val="2"/>
                              <w:sz w:val="24"/>
                              <w:szCs w:val="24"/>
                              <w:lang w:val="en-US" w:eastAsia="zh-CN" w:bidi="ar-SA"/>
                            </w:rPr>
                            <w:t>　</w:t>
                          </w:r>
                          <w:r>
                            <w:rPr>
                              <w:rFonts w:ascii="宋体" w:hAnsi="宋体" w:eastAsia="宋体" w:cs="Times New Roman"/>
                              <w:kern w:val="2"/>
                              <w:sz w:val="28"/>
                              <w:szCs w:val="24"/>
                              <w:lang w:val="en-US" w:eastAsia="zh-CN" w:bidi="ar-SA"/>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GpUrO1gAAAAYBAAAPAAAAAAAAAAEAIAAAACIAAABkcnMv&#10;ZG93bnJldi54bWxQSwECFAAUAAAACACHTuJAtHD75j4CAAB5BAAADgAAAAAAAAABACAAAAAlAQAA&#10;ZHJzL2Uyb0RvYy54bWxQSwUGAAAAAAYABgBZAQAA1QUAAAAA&#10;">
              <v:fill on="f" focussize="0,0"/>
              <v:stroke on="f" weight="0.5pt"/>
              <v:imagedata o:title=""/>
              <o:lock v:ext="edit" aspectratio="f"/>
              <v:textbox inset="16pt,0mm,16pt,0mm" style="mso-fit-shape-to-text:t;">
                <w:txbxContent>
                  <w:p w14:paraId="6E3895F2">
                    <w:pPr>
                      <w:keepNext w:val="0"/>
                      <w:keepLines w:val="0"/>
                      <w:pageBreakBefore w:val="0"/>
                      <w:widowControl w:val="0"/>
                      <w:tabs>
                        <w:tab w:val="center" w:pos="4153"/>
                        <w:tab w:val="right" w:pos="8306"/>
                      </w:tabs>
                      <w:kinsoku/>
                      <w:wordWrap/>
                      <w:overflowPunct/>
                      <w:topLinePunct w:val="0"/>
                      <w:autoSpaceDE/>
                      <w:autoSpaceDN/>
                      <w:bidi w:val="0"/>
                      <w:adjustRightInd/>
                      <w:snapToGrid w:val="0"/>
                      <w:ind w:left="210" w:leftChars="100" w:right="210" w:rightChars="100"/>
                      <w:jc w:val="left"/>
                      <w:textAlignment w:val="auto"/>
                      <w:rPr>
                        <w:rFonts w:ascii="宋体" w:hAnsi="宋体" w:eastAsia="宋体" w:cs="Times New Roman"/>
                        <w:kern w:val="2"/>
                        <w:sz w:val="28"/>
                        <w:szCs w:val="24"/>
                        <w:lang w:val="en-US" w:eastAsia="zh-CN" w:bidi="ar-SA"/>
                      </w:rPr>
                    </w:pPr>
                    <w:r>
                      <w:rPr>
                        <w:rFonts w:ascii="宋体" w:hAnsi="宋体" w:eastAsia="宋体" w:cs="Times New Roman"/>
                        <w:kern w:val="2"/>
                        <w:sz w:val="28"/>
                        <w:szCs w:val="24"/>
                        <w:lang w:val="en-US" w:eastAsia="zh-CN" w:bidi="ar-SA"/>
                      </w:rPr>
                      <w:t>—</w:t>
                    </w:r>
                    <w:r>
                      <w:rPr>
                        <w:rFonts w:ascii="宋体" w:hAnsi="宋体" w:eastAsia="宋体" w:cs="Times New Roman"/>
                        <w:kern w:val="2"/>
                        <w:sz w:val="24"/>
                        <w:szCs w:val="24"/>
                        <w:lang w:val="en-US" w:eastAsia="zh-CN" w:bidi="ar-SA"/>
                      </w:rPr>
                      <w:t>　</w:t>
                    </w:r>
                    <w:r>
                      <w:rPr>
                        <w:rFonts w:ascii="宋体" w:hAnsi="宋体" w:eastAsia="宋体" w:cs="Times New Roman"/>
                        <w:kern w:val="2"/>
                        <w:sz w:val="28"/>
                        <w:szCs w:val="24"/>
                        <w:lang w:val="en-US" w:eastAsia="zh-CN" w:bidi="ar-SA"/>
                      </w:rPr>
                      <w:fldChar w:fldCharType="begin"/>
                    </w:r>
                    <w:r>
                      <w:rPr>
                        <w:rFonts w:ascii="宋体" w:hAnsi="宋体" w:eastAsia="宋体" w:cs="Times New Roman"/>
                        <w:kern w:val="2"/>
                        <w:sz w:val="28"/>
                        <w:szCs w:val="24"/>
                        <w:lang w:val="en-US" w:eastAsia="zh-CN" w:bidi="ar-SA"/>
                      </w:rPr>
                      <w:instrText xml:space="preserve"> PAGE  \* MERGEFORMAT </w:instrText>
                    </w:r>
                    <w:r>
                      <w:rPr>
                        <w:rFonts w:ascii="宋体" w:hAnsi="宋体" w:eastAsia="宋体" w:cs="Times New Roman"/>
                        <w:kern w:val="2"/>
                        <w:sz w:val="28"/>
                        <w:szCs w:val="24"/>
                        <w:lang w:val="en-US" w:eastAsia="zh-CN" w:bidi="ar-SA"/>
                      </w:rPr>
                      <w:fldChar w:fldCharType="separate"/>
                    </w:r>
                    <w:r>
                      <w:rPr>
                        <w:rFonts w:ascii="宋体" w:hAnsi="宋体" w:eastAsia="宋体" w:cs="Times New Roman"/>
                        <w:kern w:val="2"/>
                        <w:sz w:val="28"/>
                        <w:szCs w:val="24"/>
                        <w:lang w:val="en-US" w:eastAsia="zh-CN" w:bidi="ar-SA"/>
                      </w:rPr>
                      <w:t>10</w:t>
                    </w:r>
                    <w:r>
                      <w:rPr>
                        <w:rFonts w:ascii="宋体" w:hAnsi="宋体" w:eastAsia="宋体" w:cs="Times New Roman"/>
                        <w:kern w:val="2"/>
                        <w:sz w:val="28"/>
                        <w:szCs w:val="24"/>
                        <w:lang w:val="en-US" w:eastAsia="zh-CN" w:bidi="ar-SA"/>
                      </w:rPr>
                      <w:fldChar w:fldCharType="end"/>
                    </w:r>
                    <w:r>
                      <w:rPr>
                        <w:rFonts w:ascii="宋体" w:hAnsi="宋体" w:eastAsia="宋体" w:cs="Times New Roman"/>
                        <w:kern w:val="2"/>
                        <w:sz w:val="24"/>
                        <w:szCs w:val="24"/>
                        <w:lang w:val="en-US" w:eastAsia="zh-CN" w:bidi="ar-SA"/>
                      </w:rPr>
                      <w:t>　</w:t>
                    </w:r>
                    <w:r>
                      <w:rPr>
                        <w:rFonts w:ascii="宋体" w:hAnsi="宋体" w:eastAsia="宋体" w:cs="Times New Roman"/>
                        <w:kern w:val="2"/>
                        <w:sz w:val="28"/>
                        <w:szCs w:val="24"/>
                        <w:lang w:val="en-US" w:eastAsia="zh-CN" w:bidi="ar-SA"/>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3E5862"/>
    <w:rsid w:val="38FC2A1D"/>
    <w:rsid w:val="477A0E5C"/>
    <w:rsid w:val="5E061D99"/>
    <w:rsid w:val="743E5862"/>
    <w:rsid w:val="746D4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jc w:val="center"/>
      <w:outlineLvl w:val="0"/>
    </w:pPr>
    <w:rPr>
      <w:rFonts w:ascii="Calibri" w:hAnsi="Calibri" w:eastAsia="方正小标宋简体" w:cs="Times New Roman"/>
      <w:kern w:val="44"/>
      <w:sz w:val="44"/>
    </w:rPr>
  </w:style>
  <w:style w:type="paragraph" w:styleId="3">
    <w:name w:val="heading 2"/>
    <w:basedOn w:val="1"/>
    <w:next w:val="1"/>
    <w:semiHidden/>
    <w:unhideWhenUsed/>
    <w:qFormat/>
    <w:uiPriority w:val="0"/>
    <w:pPr>
      <w:keepNext/>
      <w:keepLines/>
      <w:spacing w:beforeLines="0" w:beforeAutospacing="0" w:afterLines="0" w:afterAutospacing="0" w:line="600" w:lineRule="exact"/>
      <w:ind w:firstLine="880" w:firstLineChars="200"/>
      <w:outlineLvl w:val="1"/>
    </w:pPr>
    <w:rPr>
      <w:rFonts w:ascii="Arial" w:hAnsi="Arial" w:eastAsia="黑体" w:cs="Times New Roman"/>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2025-10-23T02:52:00Z</dcterms:created>
  <dc:creator>赵月震</dc:creator>
  <cp:lastModifiedBy>赵月震</cp:lastModifiedBy>
  <dcterms:modified xsi:type="dcterms:W3CDTF">2025-10-23T02:53:46Z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7BB985BA45324728BEB9AB45AC76A82A_11</vt:lpwstr>
  </property>
  <property fmtid="{D5CDD505-2E9C-101B-9397-08002B2CF9AE}" pid="4" name="KSOTemplateDocerSaveRecord">
    <vt:lpwstr>eyJoZGlkIjoiMjYyYmNhNDcxYWNmYzQwYzU2YTFlODg3MzQwNGQ5MmEiLCJ1c2VySWQiOiI5MTg4MDE0NTgifQ==</vt:lpwstr>
  </property>
</Properties>
</file>